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0D4D" w14:textId="77777777" w:rsidR="00F8504A" w:rsidRPr="00386E3F" w:rsidRDefault="00F843F9" w:rsidP="00932AC6">
      <w:pPr>
        <w:pStyle w:val="Kop-Inhoudsopgave"/>
        <w:ind w:hanging="3220"/>
        <w:rPr>
          <w:highlight w:val="yellow"/>
        </w:rPr>
      </w:pPr>
      <w:r w:rsidRPr="00386E3F">
        <w:rPr>
          <w:noProof/>
          <w:highlight w:val="yellow"/>
        </w:rPr>
        <w:drawing>
          <wp:anchor distT="0" distB="0" distL="114300" distR="114300" simplePos="0" relativeHeight="251726848" behindDoc="1" locked="0" layoutInCell="1" allowOverlap="1" wp14:anchorId="76AFFB2E" wp14:editId="58440454">
            <wp:simplePos x="0" y="0"/>
            <wp:positionH relativeFrom="column">
              <wp:posOffset>-2297430</wp:posOffset>
            </wp:positionH>
            <wp:positionV relativeFrom="paragraph">
              <wp:posOffset>1417320</wp:posOffset>
            </wp:positionV>
            <wp:extent cx="7960360" cy="5781307"/>
            <wp:effectExtent l="0" t="0" r="2540" b="0"/>
            <wp:wrapNone/>
            <wp:docPr id="14" name="Afbeelding 14" descr="\\vbprow18\vbprow18.USR\Schms03\Mijn Documenten\Desktop\front H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bprow18\vbprow18.USR\Schms03\Mijn Documenten\Desktop\front H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13405" cy="5819832"/>
                    </a:xfrm>
                    <a:prstGeom prst="rect">
                      <a:avLst/>
                    </a:prstGeom>
                    <a:noFill/>
                    <a:ln>
                      <a:noFill/>
                    </a:ln>
                  </pic:spPr>
                </pic:pic>
              </a:graphicData>
            </a:graphic>
            <wp14:sizeRelH relativeFrom="page">
              <wp14:pctWidth>0</wp14:pctWidth>
            </wp14:sizeRelH>
            <wp14:sizeRelV relativeFrom="page">
              <wp14:pctHeight>0</wp14:pctHeight>
            </wp14:sizeRelV>
          </wp:anchor>
        </w:drawing>
      </w:r>
      <w:r w:rsidR="00AD1C0B" w:rsidRPr="00386E3F">
        <w:rPr>
          <w:highlight w:val="yellow"/>
        </w:rPr>
        <w:br w:type="page"/>
      </w:r>
    </w:p>
    <w:p w14:paraId="51E03649" w14:textId="77777777" w:rsidR="00AD1C0B" w:rsidRPr="00386E3F" w:rsidRDefault="00AD1C0B" w:rsidP="009F0407">
      <w:pPr>
        <w:rPr>
          <w:highlight w:val="yellow"/>
        </w:rPr>
      </w:pPr>
    </w:p>
    <w:p w14:paraId="218F7D57" w14:textId="77777777" w:rsidR="00821415" w:rsidRPr="00386E3F" w:rsidRDefault="00F16C27" w:rsidP="00741CDB">
      <w:pPr>
        <w:pStyle w:val="Kop-Inhoudsopgave"/>
        <w:rPr>
          <w:sz w:val="30"/>
          <w:szCs w:val="30"/>
        </w:rPr>
      </w:pPr>
      <w:r w:rsidRPr="00386E3F">
        <w:rPr>
          <w:sz w:val="30"/>
          <w:szCs w:val="30"/>
        </w:rPr>
        <w:t>I</w:t>
      </w:r>
      <w:r w:rsidR="00821415" w:rsidRPr="00386E3F">
        <w:rPr>
          <w:sz w:val="30"/>
          <w:szCs w:val="30"/>
        </w:rPr>
        <w:t>nhoud</w:t>
      </w:r>
    </w:p>
    <w:p w14:paraId="7DC624D2" w14:textId="27894980" w:rsidR="000751C3" w:rsidRDefault="00C829B5">
      <w:pPr>
        <w:pStyle w:val="Inhopg2"/>
        <w:rPr>
          <w:rFonts w:asciiTheme="minorHAnsi" w:eastAsiaTheme="minorEastAsia" w:hAnsiTheme="minorHAnsi" w:cstheme="minorBidi"/>
          <w:b w:val="0"/>
          <w:noProof/>
          <w:kern w:val="2"/>
          <w:sz w:val="24"/>
          <w14:ligatures w14:val="standardContextual"/>
        </w:rPr>
      </w:pPr>
      <w:r w:rsidRPr="00386E3F">
        <w:fldChar w:fldCharType="begin"/>
      </w:r>
      <w:r w:rsidR="00821415" w:rsidRPr="00386E3F">
        <w:instrText xml:space="preserve"> TOC \f \p "—" \z \t "Kop 1;2;Kop 2;3;Kop 3;4;Kop zonder nummering;1;Subtitel;2;Titel;1" </w:instrText>
      </w:r>
      <w:r w:rsidRPr="00386E3F">
        <w:fldChar w:fldCharType="separate"/>
      </w:r>
      <w:r w:rsidR="000751C3">
        <w:rPr>
          <w:noProof/>
        </w:rPr>
        <w:t>1</w:t>
      </w:r>
      <w:r w:rsidR="000751C3">
        <w:rPr>
          <w:rFonts w:asciiTheme="minorHAnsi" w:eastAsiaTheme="minorEastAsia" w:hAnsiTheme="minorHAnsi" w:cstheme="minorBidi"/>
          <w:b w:val="0"/>
          <w:noProof/>
          <w:kern w:val="2"/>
          <w:sz w:val="24"/>
          <w14:ligatures w14:val="standardContextual"/>
        </w:rPr>
        <w:tab/>
      </w:r>
      <w:r w:rsidR="000751C3">
        <w:rPr>
          <w:noProof/>
        </w:rPr>
        <w:t>Inleiding</w:t>
      </w:r>
      <w:r w:rsidR="000751C3">
        <w:rPr>
          <w:noProof/>
          <w:webHidden/>
        </w:rPr>
        <w:t>—</w:t>
      </w:r>
      <w:r w:rsidR="000751C3">
        <w:rPr>
          <w:noProof/>
          <w:webHidden/>
        </w:rPr>
        <w:fldChar w:fldCharType="begin"/>
      </w:r>
      <w:r w:rsidR="000751C3">
        <w:rPr>
          <w:noProof/>
          <w:webHidden/>
        </w:rPr>
        <w:instrText xml:space="preserve"> PAGEREF _Toc207732141 \h </w:instrText>
      </w:r>
      <w:r w:rsidR="000751C3">
        <w:rPr>
          <w:noProof/>
          <w:webHidden/>
        </w:rPr>
      </w:r>
      <w:r w:rsidR="000751C3">
        <w:rPr>
          <w:noProof/>
          <w:webHidden/>
        </w:rPr>
        <w:fldChar w:fldCharType="separate"/>
      </w:r>
      <w:r w:rsidR="000751C3">
        <w:rPr>
          <w:noProof/>
          <w:webHidden/>
        </w:rPr>
        <w:t>4</w:t>
      </w:r>
      <w:r w:rsidR="000751C3">
        <w:rPr>
          <w:noProof/>
          <w:webHidden/>
        </w:rPr>
        <w:fldChar w:fldCharType="end"/>
      </w:r>
    </w:p>
    <w:p w14:paraId="357F7C4F" w14:textId="078D438E" w:rsidR="000751C3" w:rsidRDefault="000751C3">
      <w:pPr>
        <w:pStyle w:val="Inhopg3"/>
        <w:rPr>
          <w:rFonts w:asciiTheme="minorHAnsi" w:eastAsiaTheme="minorEastAsia" w:hAnsiTheme="minorHAnsi" w:cstheme="minorBidi"/>
          <w:noProof/>
          <w:kern w:val="2"/>
          <w:sz w:val="24"/>
          <w14:ligatures w14:val="standardContextual"/>
        </w:rPr>
      </w:pPr>
      <w:r>
        <w:rPr>
          <w:noProof/>
        </w:rPr>
        <w:t>1.1</w:t>
      </w:r>
      <w:r>
        <w:rPr>
          <w:rFonts w:asciiTheme="minorHAnsi" w:eastAsiaTheme="minorEastAsia" w:hAnsiTheme="minorHAnsi" w:cstheme="minorBidi"/>
          <w:noProof/>
          <w:kern w:val="2"/>
          <w:sz w:val="24"/>
          <w14:ligatures w14:val="standardContextual"/>
        </w:rPr>
        <w:tab/>
      </w:r>
      <w:r>
        <w:rPr>
          <w:noProof/>
        </w:rPr>
        <w:t>Deel 1 van deze handleiding</w:t>
      </w:r>
      <w:r>
        <w:rPr>
          <w:noProof/>
          <w:webHidden/>
        </w:rPr>
        <w:t>—</w:t>
      </w:r>
      <w:r>
        <w:rPr>
          <w:noProof/>
          <w:webHidden/>
        </w:rPr>
        <w:fldChar w:fldCharType="begin"/>
      </w:r>
      <w:r>
        <w:rPr>
          <w:noProof/>
          <w:webHidden/>
        </w:rPr>
        <w:instrText xml:space="preserve"> PAGEREF _Toc207732142 \h </w:instrText>
      </w:r>
      <w:r>
        <w:rPr>
          <w:noProof/>
          <w:webHidden/>
        </w:rPr>
      </w:r>
      <w:r>
        <w:rPr>
          <w:noProof/>
          <w:webHidden/>
        </w:rPr>
        <w:fldChar w:fldCharType="separate"/>
      </w:r>
      <w:r>
        <w:rPr>
          <w:noProof/>
          <w:webHidden/>
        </w:rPr>
        <w:t>4</w:t>
      </w:r>
      <w:r>
        <w:rPr>
          <w:noProof/>
          <w:webHidden/>
        </w:rPr>
        <w:fldChar w:fldCharType="end"/>
      </w:r>
    </w:p>
    <w:p w14:paraId="76D0AB74" w14:textId="13E1CA45" w:rsidR="000751C3" w:rsidRDefault="000751C3">
      <w:pPr>
        <w:pStyle w:val="Inhopg3"/>
        <w:rPr>
          <w:rFonts w:asciiTheme="minorHAnsi" w:eastAsiaTheme="minorEastAsia" w:hAnsiTheme="minorHAnsi" w:cstheme="minorBidi"/>
          <w:noProof/>
          <w:kern w:val="2"/>
          <w:sz w:val="24"/>
          <w14:ligatures w14:val="standardContextual"/>
        </w:rPr>
      </w:pPr>
      <w:r>
        <w:rPr>
          <w:noProof/>
        </w:rPr>
        <w:t>1.2</w:t>
      </w:r>
      <w:r>
        <w:rPr>
          <w:rFonts w:asciiTheme="minorHAnsi" w:eastAsiaTheme="minorEastAsia" w:hAnsiTheme="minorHAnsi" w:cstheme="minorBidi"/>
          <w:noProof/>
          <w:kern w:val="2"/>
          <w:sz w:val="24"/>
          <w14:ligatures w14:val="standardContextual"/>
        </w:rPr>
        <w:tab/>
      </w:r>
      <w:r>
        <w:rPr>
          <w:noProof/>
        </w:rPr>
        <w:t>Algemeen</w:t>
      </w:r>
      <w:r>
        <w:rPr>
          <w:noProof/>
          <w:webHidden/>
        </w:rPr>
        <w:t>—</w:t>
      </w:r>
      <w:r>
        <w:rPr>
          <w:noProof/>
          <w:webHidden/>
        </w:rPr>
        <w:fldChar w:fldCharType="begin"/>
      </w:r>
      <w:r>
        <w:rPr>
          <w:noProof/>
          <w:webHidden/>
        </w:rPr>
        <w:instrText xml:space="preserve"> PAGEREF _Toc207732143 \h </w:instrText>
      </w:r>
      <w:r>
        <w:rPr>
          <w:noProof/>
          <w:webHidden/>
        </w:rPr>
      </w:r>
      <w:r>
        <w:rPr>
          <w:noProof/>
          <w:webHidden/>
        </w:rPr>
        <w:fldChar w:fldCharType="separate"/>
      </w:r>
      <w:r>
        <w:rPr>
          <w:noProof/>
          <w:webHidden/>
        </w:rPr>
        <w:t>4</w:t>
      </w:r>
      <w:r>
        <w:rPr>
          <w:noProof/>
          <w:webHidden/>
        </w:rPr>
        <w:fldChar w:fldCharType="end"/>
      </w:r>
    </w:p>
    <w:p w14:paraId="3E4E694B" w14:textId="2AE2421B" w:rsidR="000751C3" w:rsidRDefault="000751C3">
      <w:pPr>
        <w:pStyle w:val="Inhopg4"/>
        <w:rPr>
          <w:rFonts w:asciiTheme="minorHAnsi" w:eastAsiaTheme="minorEastAsia" w:hAnsiTheme="minorHAnsi" w:cstheme="minorBidi"/>
          <w:noProof/>
          <w:kern w:val="2"/>
          <w:sz w:val="24"/>
          <w14:ligatures w14:val="standardContextual"/>
        </w:rPr>
      </w:pPr>
      <w:r>
        <w:rPr>
          <w:noProof/>
        </w:rPr>
        <w:t>1.2.1</w:t>
      </w:r>
      <w:r>
        <w:rPr>
          <w:rFonts w:asciiTheme="minorHAnsi" w:eastAsiaTheme="minorEastAsia" w:hAnsiTheme="minorHAnsi" w:cstheme="minorBidi"/>
          <w:noProof/>
          <w:kern w:val="2"/>
          <w:sz w:val="24"/>
          <w14:ligatures w14:val="standardContextual"/>
        </w:rPr>
        <w:tab/>
      </w:r>
      <w:r>
        <w:rPr>
          <w:noProof/>
        </w:rPr>
        <w:t>Achtergrond</w:t>
      </w:r>
      <w:r>
        <w:rPr>
          <w:noProof/>
          <w:webHidden/>
        </w:rPr>
        <w:t>—</w:t>
      </w:r>
      <w:r>
        <w:rPr>
          <w:noProof/>
          <w:webHidden/>
        </w:rPr>
        <w:fldChar w:fldCharType="begin"/>
      </w:r>
      <w:r>
        <w:rPr>
          <w:noProof/>
          <w:webHidden/>
        </w:rPr>
        <w:instrText xml:space="preserve"> PAGEREF _Toc207732144 \h </w:instrText>
      </w:r>
      <w:r>
        <w:rPr>
          <w:noProof/>
          <w:webHidden/>
        </w:rPr>
      </w:r>
      <w:r>
        <w:rPr>
          <w:noProof/>
          <w:webHidden/>
        </w:rPr>
        <w:fldChar w:fldCharType="separate"/>
      </w:r>
      <w:r>
        <w:rPr>
          <w:noProof/>
          <w:webHidden/>
        </w:rPr>
        <w:t>4</w:t>
      </w:r>
      <w:r>
        <w:rPr>
          <w:noProof/>
          <w:webHidden/>
        </w:rPr>
        <w:fldChar w:fldCharType="end"/>
      </w:r>
    </w:p>
    <w:p w14:paraId="612A284D" w14:textId="5616E89F" w:rsidR="000751C3" w:rsidRDefault="000751C3">
      <w:pPr>
        <w:pStyle w:val="Inhopg3"/>
        <w:rPr>
          <w:rFonts w:asciiTheme="minorHAnsi" w:eastAsiaTheme="minorEastAsia" w:hAnsiTheme="minorHAnsi" w:cstheme="minorBidi"/>
          <w:noProof/>
          <w:kern w:val="2"/>
          <w:sz w:val="24"/>
          <w14:ligatures w14:val="standardContextual"/>
        </w:rPr>
      </w:pPr>
      <w:r>
        <w:rPr>
          <w:noProof/>
        </w:rPr>
        <w:t>1.3</w:t>
      </w:r>
      <w:r>
        <w:rPr>
          <w:rFonts w:asciiTheme="minorHAnsi" w:eastAsiaTheme="minorEastAsia" w:hAnsiTheme="minorHAnsi" w:cstheme="minorBidi"/>
          <w:noProof/>
          <w:kern w:val="2"/>
          <w:sz w:val="24"/>
          <w14:ligatures w14:val="standardContextual"/>
        </w:rPr>
        <w:tab/>
      </w:r>
      <w:r>
        <w:rPr>
          <w:noProof/>
        </w:rPr>
        <w:t>Actuele informatie</w:t>
      </w:r>
      <w:r>
        <w:rPr>
          <w:noProof/>
          <w:webHidden/>
        </w:rPr>
        <w:t>—</w:t>
      </w:r>
      <w:r>
        <w:rPr>
          <w:noProof/>
          <w:webHidden/>
        </w:rPr>
        <w:fldChar w:fldCharType="begin"/>
      </w:r>
      <w:r>
        <w:rPr>
          <w:noProof/>
          <w:webHidden/>
        </w:rPr>
        <w:instrText xml:space="preserve"> PAGEREF _Toc207732145 \h </w:instrText>
      </w:r>
      <w:r>
        <w:rPr>
          <w:noProof/>
          <w:webHidden/>
        </w:rPr>
      </w:r>
      <w:r>
        <w:rPr>
          <w:noProof/>
          <w:webHidden/>
        </w:rPr>
        <w:fldChar w:fldCharType="separate"/>
      </w:r>
      <w:r>
        <w:rPr>
          <w:noProof/>
          <w:webHidden/>
        </w:rPr>
        <w:t>5</w:t>
      </w:r>
      <w:r>
        <w:rPr>
          <w:noProof/>
          <w:webHidden/>
        </w:rPr>
        <w:fldChar w:fldCharType="end"/>
      </w:r>
    </w:p>
    <w:p w14:paraId="29590BCF" w14:textId="674F55DD" w:rsidR="000751C3" w:rsidRDefault="000751C3">
      <w:pPr>
        <w:pStyle w:val="Inhopg2"/>
        <w:rPr>
          <w:rFonts w:asciiTheme="minorHAnsi" w:eastAsiaTheme="minorEastAsia" w:hAnsiTheme="minorHAnsi" w:cstheme="minorBidi"/>
          <w:b w:val="0"/>
          <w:noProof/>
          <w:kern w:val="2"/>
          <w:sz w:val="24"/>
          <w14:ligatures w14:val="standardContextual"/>
        </w:rPr>
      </w:pPr>
      <w:r>
        <w:rPr>
          <w:noProof/>
        </w:rPr>
        <w:t>2</w:t>
      </w:r>
      <w:r>
        <w:rPr>
          <w:rFonts w:asciiTheme="minorHAnsi" w:eastAsiaTheme="minorEastAsia" w:hAnsiTheme="minorHAnsi" w:cstheme="minorBidi"/>
          <w:b w:val="0"/>
          <w:noProof/>
          <w:kern w:val="2"/>
          <w:sz w:val="24"/>
          <w14:ligatures w14:val="standardContextual"/>
        </w:rPr>
        <w:tab/>
      </w:r>
      <w:r>
        <w:rPr>
          <w:noProof/>
        </w:rPr>
        <w:t>Fiscaal-juridisch</w:t>
      </w:r>
      <w:r>
        <w:rPr>
          <w:noProof/>
          <w:webHidden/>
        </w:rPr>
        <w:t>—</w:t>
      </w:r>
      <w:r>
        <w:rPr>
          <w:noProof/>
          <w:webHidden/>
        </w:rPr>
        <w:fldChar w:fldCharType="begin"/>
      </w:r>
      <w:r>
        <w:rPr>
          <w:noProof/>
          <w:webHidden/>
        </w:rPr>
        <w:instrText xml:space="preserve"> PAGEREF _Toc207732146 \h </w:instrText>
      </w:r>
      <w:r>
        <w:rPr>
          <w:noProof/>
          <w:webHidden/>
        </w:rPr>
      </w:r>
      <w:r>
        <w:rPr>
          <w:noProof/>
          <w:webHidden/>
        </w:rPr>
        <w:fldChar w:fldCharType="separate"/>
      </w:r>
      <w:r>
        <w:rPr>
          <w:noProof/>
          <w:webHidden/>
        </w:rPr>
        <w:t>6</w:t>
      </w:r>
      <w:r>
        <w:rPr>
          <w:noProof/>
          <w:webHidden/>
        </w:rPr>
        <w:fldChar w:fldCharType="end"/>
      </w:r>
    </w:p>
    <w:p w14:paraId="5826C503" w14:textId="416B7745" w:rsidR="000751C3" w:rsidRDefault="000751C3">
      <w:pPr>
        <w:pStyle w:val="Inhopg3"/>
        <w:rPr>
          <w:rFonts w:asciiTheme="minorHAnsi" w:eastAsiaTheme="minorEastAsia" w:hAnsiTheme="minorHAnsi" w:cstheme="minorBidi"/>
          <w:noProof/>
          <w:kern w:val="2"/>
          <w:sz w:val="24"/>
          <w14:ligatures w14:val="standardContextual"/>
        </w:rPr>
      </w:pPr>
      <w:r>
        <w:rPr>
          <w:noProof/>
        </w:rPr>
        <w:t>2.1</w:t>
      </w:r>
      <w:r>
        <w:rPr>
          <w:rFonts w:asciiTheme="minorHAnsi" w:eastAsiaTheme="minorEastAsia" w:hAnsiTheme="minorHAnsi" w:cstheme="minorBidi"/>
          <w:noProof/>
          <w:kern w:val="2"/>
          <w:sz w:val="24"/>
          <w14:ligatures w14:val="standardContextual"/>
        </w:rPr>
        <w:tab/>
      </w:r>
      <w:r>
        <w:rPr>
          <w:noProof/>
        </w:rPr>
        <w:t>Wettelijke basis</w:t>
      </w:r>
      <w:r>
        <w:rPr>
          <w:noProof/>
          <w:webHidden/>
        </w:rPr>
        <w:t>—</w:t>
      </w:r>
      <w:r>
        <w:rPr>
          <w:noProof/>
          <w:webHidden/>
        </w:rPr>
        <w:fldChar w:fldCharType="begin"/>
      </w:r>
      <w:r>
        <w:rPr>
          <w:noProof/>
          <w:webHidden/>
        </w:rPr>
        <w:instrText xml:space="preserve"> PAGEREF _Toc207732147 \h </w:instrText>
      </w:r>
      <w:r>
        <w:rPr>
          <w:noProof/>
          <w:webHidden/>
        </w:rPr>
      </w:r>
      <w:r>
        <w:rPr>
          <w:noProof/>
          <w:webHidden/>
        </w:rPr>
        <w:fldChar w:fldCharType="separate"/>
      </w:r>
      <w:r>
        <w:rPr>
          <w:noProof/>
          <w:webHidden/>
        </w:rPr>
        <w:t>6</w:t>
      </w:r>
      <w:r>
        <w:rPr>
          <w:noProof/>
          <w:webHidden/>
        </w:rPr>
        <w:fldChar w:fldCharType="end"/>
      </w:r>
    </w:p>
    <w:p w14:paraId="6260E27F" w14:textId="6F3EBA4D" w:rsidR="000751C3" w:rsidRDefault="000751C3">
      <w:pPr>
        <w:pStyle w:val="Inhopg3"/>
        <w:rPr>
          <w:rFonts w:asciiTheme="minorHAnsi" w:eastAsiaTheme="minorEastAsia" w:hAnsiTheme="minorHAnsi" w:cstheme="minorBidi"/>
          <w:noProof/>
          <w:kern w:val="2"/>
          <w:sz w:val="24"/>
          <w14:ligatures w14:val="standardContextual"/>
        </w:rPr>
      </w:pPr>
      <w:r>
        <w:rPr>
          <w:noProof/>
        </w:rPr>
        <w:t>2.2</w:t>
      </w:r>
      <w:r>
        <w:rPr>
          <w:rFonts w:asciiTheme="minorHAnsi" w:eastAsiaTheme="minorEastAsia" w:hAnsiTheme="minorHAnsi" w:cstheme="minorBidi"/>
          <w:noProof/>
          <w:kern w:val="2"/>
          <w:sz w:val="24"/>
          <w14:ligatures w14:val="standardContextual"/>
        </w:rPr>
        <w:tab/>
      </w:r>
      <w:r>
        <w:rPr>
          <w:noProof/>
        </w:rPr>
        <w:t>Voor welke aanbieders van cryptoactivadiensten is deze handleiding bedoeld?</w:t>
      </w:r>
      <w:r>
        <w:rPr>
          <w:noProof/>
          <w:webHidden/>
        </w:rPr>
        <w:t>—</w:t>
      </w:r>
      <w:r>
        <w:rPr>
          <w:noProof/>
          <w:webHidden/>
        </w:rPr>
        <w:fldChar w:fldCharType="begin"/>
      </w:r>
      <w:r>
        <w:rPr>
          <w:noProof/>
          <w:webHidden/>
        </w:rPr>
        <w:instrText xml:space="preserve"> PAGEREF _Toc207732148 \h </w:instrText>
      </w:r>
      <w:r>
        <w:rPr>
          <w:noProof/>
          <w:webHidden/>
        </w:rPr>
      </w:r>
      <w:r>
        <w:rPr>
          <w:noProof/>
          <w:webHidden/>
        </w:rPr>
        <w:fldChar w:fldCharType="separate"/>
      </w:r>
      <w:r>
        <w:rPr>
          <w:noProof/>
          <w:webHidden/>
        </w:rPr>
        <w:t>6</w:t>
      </w:r>
      <w:r>
        <w:rPr>
          <w:noProof/>
          <w:webHidden/>
        </w:rPr>
        <w:fldChar w:fldCharType="end"/>
      </w:r>
    </w:p>
    <w:p w14:paraId="39DE1D3F" w14:textId="5DF4F54C" w:rsidR="000751C3" w:rsidRDefault="000751C3">
      <w:pPr>
        <w:pStyle w:val="Inhopg4"/>
        <w:rPr>
          <w:rFonts w:asciiTheme="minorHAnsi" w:eastAsiaTheme="minorEastAsia" w:hAnsiTheme="minorHAnsi" w:cstheme="minorBidi"/>
          <w:noProof/>
          <w:kern w:val="2"/>
          <w:sz w:val="24"/>
          <w14:ligatures w14:val="standardContextual"/>
        </w:rPr>
      </w:pPr>
      <w:r>
        <w:rPr>
          <w:noProof/>
        </w:rPr>
        <w:t>2.2.1</w:t>
      </w:r>
      <w:r>
        <w:rPr>
          <w:rFonts w:asciiTheme="minorHAnsi" w:eastAsiaTheme="minorEastAsia" w:hAnsiTheme="minorHAnsi" w:cstheme="minorBidi"/>
          <w:noProof/>
          <w:kern w:val="2"/>
          <w:sz w:val="24"/>
          <w14:ligatures w14:val="standardContextual"/>
        </w:rPr>
        <w:tab/>
      </w:r>
      <w:r>
        <w:rPr>
          <w:noProof/>
        </w:rPr>
        <w:t>Rapporterende cryptodienstverleners</w:t>
      </w:r>
      <w:r>
        <w:rPr>
          <w:noProof/>
          <w:webHidden/>
        </w:rPr>
        <w:t>—</w:t>
      </w:r>
      <w:r>
        <w:rPr>
          <w:noProof/>
          <w:webHidden/>
        </w:rPr>
        <w:fldChar w:fldCharType="begin"/>
      </w:r>
      <w:r>
        <w:rPr>
          <w:noProof/>
          <w:webHidden/>
        </w:rPr>
        <w:instrText xml:space="preserve"> PAGEREF _Toc207732149 \h </w:instrText>
      </w:r>
      <w:r>
        <w:rPr>
          <w:noProof/>
          <w:webHidden/>
        </w:rPr>
      </w:r>
      <w:r>
        <w:rPr>
          <w:noProof/>
          <w:webHidden/>
        </w:rPr>
        <w:fldChar w:fldCharType="separate"/>
      </w:r>
      <w:r>
        <w:rPr>
          <w:noProof/>
          <w:webHidden/>
        </w:rPr>
        <w:t>6</w:t>
      </w:r>
      <w:r>
        <w:rPr>
          <w:noProof/>
          <w:webHidden/>
        </w:rPr>
        <w:fldChar w:fldCharType="end"/>
      </w:r>
    </w:p>
    <w:p w14:paraId="1914BE13" w14:textId="2ED24140" w:rsidR="000751C3" w:rsidRDefault="000751C3">
      <w:pPr>
        <w:pStyle w:val="Inhopg4"/>
        <w:rPr>
          <w:rFonts w:asciiTheme="minorHAnsi" w:eastAsiaTheme="minorEastAsia" w:hAnsiTheme="minorHAnsi" w:cstheme="minorBidi"/>
          <w:noProof/>
          <w:kern w:val="2"/>
          <w:sz w:val="24"/>
          <w14:ligatures w14:val="standardContextual"/>
        </w:rPr>
      </w:pPr>
      <w:r>
        <w:rPr>
          <w:noProof/>
        </w:rPr>
        <w:t>2.2.2</w:t>
      </w:r>
      <w:r>
        <w:rPr>
          <w:rFonts w:asciiTheme="minorHAnsi" w:eastAsiaTheme="minorEastAsia" w:hAnsiTheme="minorHAnsi" w:cstheme="minorBidi"/>
          <w:noProof/>
          <w:kern w:val="2"/>
          <w:sz w:val="24"/>
          <w14:ligatures w14:val="standardContextual"/>
        </w:rPr>
        <w:tab/>
      </w:r>
      <w:r>
        <w:rPr>
          <w:noProof/>
        </w:rPr>
        <w:t>In welk land moet voldaan worden aan due diligence en rapportageverplichtingen?</w:t>
      </w:r>
      <w:r>
        <w:rPr>
          <w:noProof/>
          <w:webHidden/>
        </w:rPr>
        <w:t>—</w:t>
      </w:r>
      <w:r>
        <w:rPr>
          <w:noProof/>
          <w:webHidden/>
        </w:rPr>
        <w:fldChar w:fldCharType="begin"/>
      </w:r>
      <w:r>
        <w:rPr>
          <w:noProof/>
          <w:webHidden/>
        </w:rPr>
        <w:instrText xml:space="preserve"> PAGEREF _Toc207732150 \h </w:instrText>
      </w:r>
      <w:r>
        <w:rPr>
          <w:noProof/>
          <w:webHidden/>
        </w:rPr>
      </w:r>
      <w:r>
        <w:rPr>
          <w:noProof/>
          <w:webHidden/>
        </w:rPr>
        <w:fldChar w:fldCharType="separate"/>
      </w:r>
      <w:r>
        <w:rPr>
          <w:noProof/>
          <w:webHidden/>
        </w:rPr>
        <w:t>7</w:t>
      </w:r>
      <w:r>
        <w:rPr>
          <w:noProof/>
          <w:webHidden/>
        </w:rPr>
        <w:fldChar w:fldCharType="end"/>
      </w:r>
    </w:p>
    <w:p w14:paraId="4BCC9D9E" w14:textId="2DDF935C" w:rsidR="000751C3" w:rsidRDefault="000751C3">
      <w:pPr>
        <w:pStyle w:val="Inhopg3"/>
        <w:rPr>
          <w:rFonts w:asciiTheme="minorHAnsi" w:eastAsiaTheme="minorEastAsia" w:hAnsiTheme="minorHAnsi" w:cstheme="minorBidi"/>
          <w:noProof/>
          <w:kern w:val="2"/>
          <w:sz w:val="24"/>
          <w14:ligatures w14:val="standardContextual"/>
        </w:rPr>
      </w:pPr>
      <w:r w:rsidRPr="009E1520">
        <w:rPr>
          <w:noProof/>
        </w:rPr>
        <w:t>2.3</w:t>
      </w:r>
      <w:r>
        <w:rPr>
          <w:rFonts w:asciiTheme="minorHAnsi" w:eastAsiaTheme="minorEastAsia" w:hAnsiTheme="minorHAnsi" w:cstheme="minorBidi"/>
          <w:noProof/>
          <w:kern w:val="2"/>
          <w:sz w:val="24"/>
          <w14:ligatures w14:val="standardContextual"/>
        </w:rPr>
        <w:tab/>
      </w:r>
      <w:r w:rsidRPr="009E1520">
        <w:rPr>
          <w:noProof/>
        </w:rPr>
        <w:t>Ingangsdatum en termijn aanlevering transacties</w:t>
      </w:r>
      <w:r>
        <w:rPr>
          <w:noProof/>
          <w:webHidden/>
        </w:rPr>
        <w:t>—</w:t>
      </w:r>
      <w:r>
        <w:rPr>
          <w:noProof/>
          <w:webHidden/>
        </w:rPr>
        <w:fldChar w:fldCharType="begin"/>
      </w:r>
      <w:r>
        <w:rPr>
          <w:noProof/>
          <w:webHidden/>
        </w:rPr>
        <w:instrText xml:space="preserve"> PAGEREF _Toc207732151 \h </w:instrText>
      </w:r>
      <w:r>
        <w:rPr>
          <w:noProof/>
          <w:webHidden/>
        </w:rPr>
      </w:r>
      <w:r>
        <w:rPr>
          <w:noProof/>
          <w:webHidden/>
        </w:rPr>
        <w:fldChar w:fldCharType="separate"/>
      </w:r>
      <w:r>
        <w:rPr>
          <w:noProof/>
          <w:webHidden/>
        </w:rPr>
        <w:t>7</w:t>
      </w:r>
      <w:r>
        <w:rPr>
          <w:noProof/>
          <w:webHidden/>
        </w:rPr>
        <w:fldChar w:fldCharType="end"/>
      </w:r>
    </w:p>
    <w:p w14:paraId="03C79184" w14:textId="2BBD36B0" w:rsidR="000751C3" w:rsidRDefault="000751C3">
      <w:pPr>
        <w:pStyle w:val="Inhopg2"/>
        <w:rPr>
          <w:rFonts w:asciiTheme="minorHAnsi" w:eastAsiaTheme="minorEastAsia" w:hAnsiTheme="minorHAnsi" w:cstheme="minorBidi"/>
          <w:b w:val="0"/>
          <w:noProof/>
          <w:kern w:val="2"/>
          <w:sz w:val="24"/>
          <w14:ligatures w14:val="standardContextual"/>
        </w:rPr>
      </w:pPr>
      <w:r>
        <w:rPr>
          <w:noProof/>
        </w:rPr>
        <w:t>3</w:t>
      </w:r>
      <w:r>
        <w:rPr>
          <w:rFonts w:asciiTheme="minorHAnsi" w:eastAsiaTheme="minorEastAsia" w:hAnsiTheme="minorHAnsi" w:cstheme="minorBidi"/>
          <w:b w:val="0"/>
          <w:noProof/>
          <w:kern w:val="2"/>
          <w:sz w:val="24"/>
          <w14:ligatures w14:val="standardContextual"/>
        </w:rPr>
        <w:tab/>
      </w:r>
      <w:r>
        <w:rPr>
          <w:noProof/>
        </w:rPr>
        <w:t>Subject gegevensaanlevering, NL-rapporterende aanbieders van cryptoactivadiensten.</w:t>
      </w:r>
      <w:r>
        <w:rPr>
          <w:noProof/>
          <w:webHidden/>
        </w:rPr>
        <w:t>—</w:t>
      </w:r>
      <w:r>
        <w:rPr>
          <w:noProof/>
          <w:webHidden/>
        </w:rPr>
        <w:fldChar w:fldCharType="begin"/>
      </w:r>
      <w:r>
        <w:rPr>
          <w:noProof/>
          <w:webHidden/>
        </w:rPr>
        <w:instrText xml:space="preserve"> PAGEREF _Toc207732152 \h </w:instrText>
      </w:r>
      <w:r>
        <w:rPr>
          <w:noProof/>
          <w:webHidden/>
        </w:rPr>
      </w:r>
      <w:r>
        <w:rPr>
          <w:noProof/>
          <w:webHidden/>
        </w:rPr>
        <w:fldChar w:fldCharType="separate"/>
      </w:r>
      <w:r>
        <w:rPr>
          <w:noProof/>
          <w:webHidden/>
        </w:rPr>
        <w:t>8</w:t>
      </w:r>
      <w:r>
        <w:rPr>
          <w:noProof/>
          <w:webHidden/>
        </w:rPr>
        <w:fldChar w:fldCharType="end"/>
      </w:r>
    </w:p>
    <w:p w14:paraId="1A2623A3" w14:textId="6C8D8298" w:rsidR="000751C3" w:rsidRDefault="000751C3">
      <w:pPr>
        <w:pStyle w:val="Inhopg4"/>
        <w:rPr>
          <w:rFonts w:asciiTheme="minorHAnsi" w:eastAsiaTheme="minorEastAsia" w:hAnsiTheme="minorHAnsi" w:cstheme="minorBidi"/>
          <w:noProof/>
          <w:kern w:val="2"/>
          <w:sz w:val="24"/>
          <w14:ligatures w14:val="standardContextual"/>
        </w:rPr>
      </w:pPr>
      <w:r>
        <w:rPr>
          <w:noProof/>
        </w:rPr>
        <w:t>3.1.1</w:t>
      </w:r>
      <w:r>
        <w:rPr>
          <w:rFonts w:asciiTheme="minorHAnsi" w:eastAsiaTheme="minorEastAsia" w:hAnsiTheme="minorHAnsi" w:cstheme="minorBidi"/>
          <w:noProof/>
          <w:kern w:val="2"/>
          <w:sz w:val="24"/>
          <w14:ligatures w14:val="standardContextual"/>
        </w:rPr>
        <w:tab/>
      </w:r>
      <w:r>
        <w:rPr>
          <w:noProof/>
        </w:rPr>
        <w:t>Aanbieders van cryptoactivadiensten?</w:t>
      </w:r>
      <w:r>
        <w:rPr>
          <w:noProof/>
          <w:webHidden/>
        </w:rPr>
        <w:t>—</w:t>
      </w:r>
      <w:r>
        <w:rPr>
          <w:noProof/>
          <w:webHidden/>
        </w:rPr>
        <w:fldChar w:fldCharType="begin"/>
      </w:r>
      <w:r>
        <w:rPr>
          <w:noProof/>
          <w:webHidden/>
        </w:rPr>
        <w:instrText xml:space="preserve"> PAGEREF _Toc207732153 \h </w:instrText>
      </w:r>
      <w:r>
        <w:rPr>
          <w:noProof/>
          <w:webHidden/>
        </w:rPr>
      </w:r>
      <w:r>
        <w:rPr>
          <w:noProof/>
          <w:webHidden/>
        </w:rPr>
        <w:fldChar w:fldCharType="separate"/>
      </w:r>
      <w:r>
        <w:rPr>
          <w:noProof/>
          <w:webHidden/>
        </w:rPr>
        <w:t>8</w:t>
      </w:r>
      <w:r>
        <w:rPr>
          <w:noProof/>
          <w:webHidden/>
        </w:rPr>
        <w:fldChar w:fldCharType="end"/>
      </w:r>
    </w:p>
    <w:p w14:paraId="4431DDE9" w14:textId="45A6D6E8" w:rsidR="000751C3" w:rsidRDefault="000751C3">
      <w:pPr>
        <w:pStyle w:val="Inhopg4"/>
        <w:rPr>
          <w:rFonts w:asciiTheme="minorHAnsi" w:eastAsiaTheme="minorEastAsia" w:hAnsiTheme="minorHAnsi" w:cstheme="minorBidi"/>
          <w:noProof/>
          <w:kern w:val="2"/>
          <w:sz w:val="24"/>
          <w14:ligatures w14:val="standardContextual"/>
        </w:rPr>
      </w:pPr>
      <w:r>
        <w:rPr>
          <w:noProof/>
        </w:rPr>
        <w:t>3.1.2</w:t>
      </w:r>
      <w:r>
        <w:rPr>
          <w:rFonts w:asciiTheme="minorHAnsi" w:eastAsiaTheme="minorEastAsia" w:hAnsiTheme="minorHAnsi" w:cstheme="minorBidi"/>
          <w:noProof/>
          <w:kern w:val="2"/>
          <w:sz w:val="24"/>
          <w14:ligatures w14:val="standardContextual"/>
        </w:rPr>
        <w:tab/>
      </w:r>
      <w:r>
        <w:rPr>
          <w:noProof/>
        </w:rPr>
        <w:t>Wat zijn cryptoactivadiensten zoals gedefinieerd in de MiCA-verordening?</w:t>
      </w:r>
      <w:r>
        <w:rPr>
          <w:noProof/>
          <w:webHidden/>
        </w:rPr>
        <w:t>—</w:t>
      </w:r>
      <w:r>
        <w:rPr>
          <w:noProof/>
          <w:webHidden/>
        </w:rPr>
        <w:fldChar w:fldCharType="begin"/>
      </w:r>
      <w:r>
        <w:rPr>
          <w:noProof/>
          <w:webHidden/>
        </w:rPr>
        <w:instrText xml:space="preserve"> PAGEREF _Toc207732154 \h </w:instrText>
      </w:r>
      <w:r>
        <w:rPr>
          <w:noProof/>
          <w:webHidden/>
        </w:rPr>
      </w:r>
      <w:r>
        <w:rPr>
          <w:noProof/>
          <w:webHidden/>
        </w:rPr>
        <w:fldChar w:fldCharType="separate"/>
      </w:r>
      <w:r>
        <w:rPr>
          <w:noProof/>
          <w:webHidden/>
        </w:rPr>
        <w:t>8</w:t>
      </w:r>
      <w:r>
        <w:rPr>
          <w:noProof/>
          <w:webHidden/>
        </w:rPr>
        <w:fldChar w:fldCharType="end"/>
      </w:r>
    </w:p>
    <w:p w14:paraId="481B083D" w14:textId="05B8E4D6" w:rsidR="000751C3" w:rsidRDefault="000751C3">
      <w:pPr>
        <w:pStyle w:val="Inhopg4"/>
        <w:rPr>
          <w:rFonts w:asciiTheme="minorHAnsi" w:eastAsiaTheme="minorEastAsia" w:hAnsiTheme="minorHAnsi" w:cstheme="minorBidi"/>
          <w:noProof/>
          <w:kern w:val="2"/>
          <w:sz w:val="24"/>
          <w14:ligatures w14:val="standardContextual"/>
        </w:rPr>
      </w:pPr>
      <w:r>
        <w:rPr>
          <w:noProof/>
        </w:rPr>
        <w:t>3.1.3</w:t>
      </w:r>
      <w:r>
        <w:rPr>
          <w:rFonts w:asciiTheme="minorHAnsi" w:eastAsiaTheme="minorEastAsia" w:hAnsiTheme="minorHAnsi" w:cstheme="minorBidi"/>
          <w:noProof/>
          <w:kern w:val="2"/>
          <w:sz w:val="24"/>
          <w14:ligatures w14:val="standardContextual"/>
        </w:rPr>
        <w:tab/>
      </w:r>
      <w:r>
        <w:rPr>
          <w:noProof/>
        </w:rPr>
        <w:t>Aanbieders waarop de MiCA-Verordening van toepassing is:</w:t>
      </w:r>
      <w:r>
        <w:rPr>
          <w:noProof/>
          <w:webHidden/>
        </w:rPr>
        <w:t>—</w:t>
      </w:r>
      <w:r>
        <w:rPr>
          <w:noProof/>
          <w:webHidden/>
        </w:rPr>
        <w:fldChar w:fldCharType="begin"/>
      </w:r>
      <w:r>
        <w:rPr>
          <w:noProof/>
          <w:webHidden/>
        </w:rPr>
        <w:instrText xml:space="preserve"> PAGEREF _Toc207732155 \h </w:instrText>
      </w:r>
      <w:r>
        <w:rPr>
          <w:noProof/>
          <w:webHidden/>
        </w:rPr>
      </w:r>
      <w:r>
        <w:rPr>
          <w:noProof/>
          <w:webHidden/>
        </w:rPr>
        <w:fldChar w:fldCharType="separate"/>
      </w:r>
      <w:r>
        <w:rPr>
          <w:noProof/>
          <w:webHidden/>
        </w:rPr>
        <w:t>8</w:t>
      </w:r>
      <w:r>
        <w:rPr>
          <w:noProof/>
          <w:webHidden/>
        </w:rPr>
        <w:fldChar w:fldCharType="end"/>
      </w:r>
    </w:p>
    <w:p w14:paraId="5017E8C5" w14:textId="651547EC" w:rsidR="000751C3" w:rsidRDefault="000751C3">
      <w:pPr>
        <w:pStyle w:val="Inhopg4"/>
        <w:rPr>
          <w:rFonts w:asciiTheme="minorHAnsi" w:eastAsiaTheme="minorEastAsia" w:hAnsiTheme="minorHAnsi" w:cstheme="minorBidi"/>
          <w:noProof/>
          <w:kern w:val="2"/>
          <w:sz w:val="24"/>
          <w14:ligatures w14:val="standardContextual"/>
        </w:rPr>
      </w:pPr>
      <w:r>
        <w:rPr>
          <w:noProof/>
        </w:rPr>
        <w:t>3.1.4</w:t>
      </w:r>
      <w:r>
        <w:rPr>
          <w:rFonts w:asciiTheme="minorHAnsi" w:eastAsiaTheme="minorEastAsia" w:hAnsiTheme="minorHAnsi" w:cstheme="minorBidi"/>
          <w:noProof/>
          <w:kern w:val="2"/>
          <w:sz w:val="24"/>
          <w14:ligatures w14:val="standardContextual"/>
        </w:rPr>
        <w:tab/>
      </w:r>
      <w:r>
        <w:rPr>
          <w:noProof/>
        </w:rPr>
        <w:t>Wanneer is sprake van een rapporterende aanbieder van cryptoactivadiensten?</w:t>
      </w:r>
      <w:r>
        <w:rPr>
          <w:noProof/>
          <w:webHidden/>
        </w:rPr>
        <w:t>—</w:t>
      </w:r>
      <w:r>
        <w:rPr>
          <w:noProof/>
          <w:webHidden/>
        </w:rPr>
        <w:fldChar w:fldCharType="begin"/>
      </w:r>
      <w:r>
        <w:rPr>
          <w:noProof/>
          <w:webHidden/>
        </w:rPr>
        <w:instrText xml:space="preserve"> PAGEREF _Toc207732156 \h </w:instrText>
      </w:r>
      <w:r>
        <w:rPr>
          <w:noProof/>
          <w:webHidden/>
        </w:rPr>
      </w:r>
      <w:r>
        <w:rPr>
          <w:noProof/>
          <w:webHidden/>
        </w:rPr>
        <w:fldChar w:fldCharType="separate"/>
      </w:r>
      <w:r>
        <w:rPr>
          <w:noProof/>
          <w:webHidden/>
        </w:rPr>
        <w:t>9</w:t>
      </w:r>
      <w:r>
        <w:rPr>
          <w:noProof/>
          <w:webHidden/>
        </w:rPr>
        <w:fldChar w:fldCharType="end"/>
      </w:r>
    </w:p>
    <w:p w14:paraId="4049BAE3" w14:textId="3A8C6AA7" w:rsidR="000751C3" w:rsidRDefault="000751C3">
      <w:pPr>
        <w:pStyle w:val="Inhopg4"/>
        <w:rPr>
          <w:rFonts w:asciiTheme="minorHAnsi" w:eastAsiaTheme="minorEastAsia" w:hAnsiTheme="minorHAnsi" w:cstheme="minorBidi"/>
          <w:noProof/>
          <w:kern w:val="2"/>
          <w:sz w:val="24"/>
          <w14:ligatures w14:val="standardContextual"/>
        </w:rPr>
      </w:pPr>
      <w:r>
        <w:rPr>
          <w:noProof/>
        </w:rPr>
        <w:t>3.1.5</w:t>
      </w:r>
      <w:r>
        <w:rPr>
          <w:rFonts w:asciiTheme="minorHAnsi" w:eastAsiaTheme="minorEastAsia" w:hAnsiTheme="minorHAnsi" w:cstheme="minorBidi"/>
          <w:noProof/>
          <w:kern w:val="2"/>
          <w:sz w:val="24"/>
          <w14:ligatures w14:val="standardContextual"/>
        </w:rPr>
        <w:tab/>
      </w:r>
      <w:r>
        <w:rPr>
          <w:noProof/>
        </w:rPr>
        <w:t>In welk land moet aan de rapportage en due diligence verplichtingen worden voldaan?</w:t>
      </w:r>
      <w:r>
        <w:rPr>
          <w:noProof/>
          <w:webHidden/>
        </w:rPr>
        <w:t>—</w:t>
      </w:r>
      <w:r>
        <w:rPr>
          <w:noProof/>
          <w:webHidden/>
        </w:rPr>
        <w:fldChar w:fldCharType="begin"/>
      </w:r>
      <w:r>
        <w:rPr>
          <w:noProof/>
          <w:webHidden/>
        </w:rPr>
        <w:instrText xml:space="preserve"> PAGEREF _Toc207732157 \h </w:instrText>
      </w:r>
      <w:r>
        <w:rPr>
          <w:noProof/>
          <w:webHidden/>
        </w:rPr>
      </w:r>
      <w:r>
        <w:rPr>
          <w:noProof/>
          <w:webHidden/>
        </w:rPr>
        <w:fldChar w:fldCharType="separate"/>
      </w:r>
      <w:r>
        <w:rPr>
          <w:noProof/>
          <w:webHidden/>
        </w:rPr>
        <w:t>9</w:t>
      </w:r>
      <w:r>
        <w:rPr>
          <w:noProof/>
          <w:webHidden/>
        </w:rPr>
        <w:fldChar w:fldCharType="end"/>
      </w:r>
    </w:p>
    <w:p w14:paraId="679370D4" w14:textId="6247389B" w:rsidR="000751C3" w:rsidRDefault="000751C3">
      <w:pPr>
        <w:pStyle w:val="Inhopg4"/>
        <w:rPr>
          <w:rFonts w:asciiTheme="minorHAnsi" w:eastAsiaTheme="minorEastAsia" w:hAnsiTheme="minorHAnsi" w:cstheme="minorBidi"/>
          <w:noProof/>
          <w:kern w:val="2"/>
          <w:sz w:val="24"/>
          <w14:ligatures w14:val="standardContextual"/>
        </w:rPr>
      </w:pPr>
      <w:r w:rsidRPr="009E1520">
        <w:rPr>
          <w:rFonts w:cs="Verdana"/>
          <w:iCs/>
          <w:noProof/>
        </w:rPr>
        <w:t>3.1.6</w:t>
      </w:r>
      <w:r>
        <w:rPr>
          <w:rFonts w:asciiTheme="minorHAnsi" w:eastAsiaTheme="minorEastAsia" w:hAnsiTheme="minorHAnsi" w:cstheme="minorBidi"/>
          <w:noProof/>
          <w:kern w:val="2"/>
          <w:sz w:val="24"/>
          <w14:ligatures w14:val="standardContextual"/>
        </w:rPr>
        <w:tab/>
      </w:r>
      <w:r>
        <w:rPr>
          <w:noProof/>
        </w:rPr>
        <w:t>Transacties uitgevoerd via een bijkantoor</w:t>
      </w:r>
      <w:r>
        <w:rPr>
          <w:noProof/>
          <w:webHidden/>
        </w:rPr>
        <w:t>—</w:t>
      </w:r>
      <w:r>
        <w:rPr>
          <w:noProof/>
          <w:webHidden/>
        </w:rPr>
        <w:fldChar w:fldCharType="begin"/>
      </w:r>
      <w:r>
        <w:rPr>
          <w:noProof/>
          <w:webHidden/>
        </w:rPr>
        <w:instrText xml:space="preserve"> PAGEREF _Toc207732158 \h </w:instrText>
      </w:r>
      <w:r>
        <w:rPr>
          <w:noProof/>
          <w:webHidden/>
        </w:rPr>
      </w:r>
      <w:r>
        <w:rPr>
          <w:noProof/>
          <w:webHidden/>
        </w:rPr>
        <w:fldChar w:fldCharType="separate"/>
      </w:r>
      <w:r>
        <w:rPr>
          <w:noProof/>
          <w:webHidden/>
        </w:rPr>
        <w:t>9</w:t>
      </w:r>
      <w:r>
        <w:rPr>
          <w:noProof/>
          <w:webHidden/>
        </w:rPr>
        <w:fldChar w:fldCharType="end"/>
      </w:r>
    </w:p>
    <w:p w14:paraId="1E5C511B" w14:textId="3D6E8007" w:rsidR="000751C3" w:rsidRDefault="000751C3">
      <w:pPr>
        <w:pStyle w:val="Inhopg2"/>
        <w:rPr>
          <w:rFonts w:asciiTheme="minorHAnsi" w:eastAsiaTheme="minorEastAsia" w:hAnsiTheme="minorHAnsi" w:cstheme="minorBidi"/>
          <w:b w:val="0"/>
          <w:noProof/>
          <w:kern w:val="2"/>
          <w:sz w:val="24"/>
          <w14:ligatures w14:val="standardContextual"/>
        </w:rPr>
      </w:pPr>
      <w:r>
        <w:rPr>
          <w:noProof/>
        </w:rPr>
        <w:t>4</w:t>
      </w:r>
      <w:r>
        <w:rPr>
          <w:rFonts w:asciiTheme="minorHAnsi" w:eastAsiaTheme="minorEastAsia" w:hAnsiTheme="minorHAnsi" w:cstheme="minorBidi"/>
          <w:b w:val="0"/>
          <w:noProof/>
          <w:kern w:val="2"/>
          <w:sz w:val="24"/>
          <w14:ligatures w14:val="standardContextual"/>
        </w:rPr>
        <w:tab/>
      </w:r>
      <w:r>
        <w:rPr>
          <w:noProof/>
        </w:rPr>
        <w:t>Object gegevensaanlevering</w:t>
      </w:r>
      <w:r>
        <w:rPr>
          <w:noProof/>
          <w:webHidden/>
        </w:rPr>
        <w:t>—</w:t>
      </w:r>
      <w:r>
        <w:rPr>
          <w:noProof/>
          <w:webHidden/>
        </w:rPr>
        <w:fldChar w:fldCharType="begin"/>
      </w:r>
      <w:r>
        <w:rPr>
          <w:noProof/>
          <w:webHidden/>
        </w:rPr>
        <w:instrText xml:space="preserve"> PAGEREF _Toc207732159 \h </w:instrText>
      </w:r>
      <w:r>
        <w:rPr>
          <w:noProof/>
          <w:webHidden/>
        </w:rPr>
      </w:r>
      <w:r>
        <w:rPr>
          <w:noProof/>
          <w:webHidden/>
        </w:rPr>
        <w:fldChar w:fldCharType="separate"/>
      </w:r>
      <w:r>
        <w:rPr>
          <w:noProof/>
          <w:webHidden/>
        </w:rPr>
        <w:t>10</w:t>
      </w:r>
      <w:r>
        <w:rPr>
          <w:noProof/>
          <w:webHidden/>
        </w:rPr>
        <w:fldChar w:fldCharType="end"/>
      </w:r>
    </w:p>
    <w:p w14:paraId="56A03559" w14:textId="312D4D55" w:rsidR="000751C3" w:rsidRDefault="000751C3">
      <w:pPr>
        <w:pStyle w:val="Inhopg3"/>
        <w:rPr>
          <w:rFonts w:asciiTheme="minorHAnsi" w:eastAsiaTheme="minorEastAsia" w:hAnsiTheme="minorHAnsi" w:cstheme="minorBidi"/>
          <w:noProof/>
          <w:kern w:val="2"/>
          <w:sz w:val="24"/>
          <w14:ligatures w14:val="standardContextual"/>
        </w:rPr>
      </w:pPr>
      <w:r w:rsidRPr="009E1520">
        <w:rPr>
          <w:bCs/>
          <w:i/>
          <w:noProof/>
        </w:rPr>
        <w:t>4.1</w:t>
      </w:r>
      <w:r>
        <w:rPr>
          <w:rFonts w:asciiTheme="minorHAnsi" w:eastAsiaTheme="minorEastAsia" w:hAnsiTheme="minorHAnsi" w:cstheme="minorBidi"/>
          <w:noProof/>
          <w:kern w:val="2"/>
          <w:sz w:val="24"/>
          <w14:ligatures w14:val="standardContextual"/>
        </w:rPr>
        <w:tab/>
      </w:r>
      <w:r w:rsidRPr="009E1520">
        <w:rPr>
          <w:bCs/>
          <w:i/>
          <w:noProof/>
        </w:rPr>
        <w:t>Wanneer heeft een aanbieder van cryptoactivadiensten een rapportageplicht?</w:t>
      </w:r>
      <w:r>
        <w:rPr>
          <w:noProof/>
          <w:webHidden/>
        </w:rPr>
        <w:t>—</w:t>
      </w:r>
      <w:r>
        <w:rPr>
          <w:noProof/>
          <w:webHidden/>
        </w:rPr>
        <w:fldChar w:fldCharType="begin"/>
      </w:r>
      <w:r>
        <w:rPr>
          <w:noProof/>
          <w:webHidden/>
        </w:rPr>
        <w:instrText xml:space="preserve"> PAGEREF _Toc207732160 \h </w:instrText>
      </w:r>
      <w:r>
        <w:rPr>
          <w:noProof/>
          <w:webHidden/>
        </w:rPr>
      </w:r>
      <w:r>
        <w:rPr>
          <w:noProof/>
          <w:webHidden/>
        </w:rPr>
        <w:fldChar w:fldCharType="separate"/>
      </w:r>
      <w:r>
        <w:rPr>
          <w:noProof/>
          <w:webHidden/>
        </w:rPr>
        <w:t>10</w:t>
      </w:r>
      <w:r>
        <w:rPr>
          <w:noProof/>
          <w:webHidden/>
        </w:rPr>
        <w:fldChar w:fldCharType="end"/>
      </w:r>
    </w:p>
    <w:p w14:paraId="5B2B8E8B" w14:textId="440FF8DF" w:rsidR="000751C3" w:rsidRDefault="000751C3">
      <w:pPr>
        <w:pStyle w:val="Inhopg3"/>
        <w:rPr>
          <w:rFonts w:asciiTheme="minorHAnsi" w:eastAsiaTheme="minorEastAsia" w:hAnsiTheme="minorHAnsi" w:cstheme="minorBidi"/>
          <w:noProof/>
          <w:kern w:val="2"/>
          <w:sz w:val="24"/>
          <w14:ligatures w14:val="standardContextual"/>
        </w:rPr>
      </w:pPr>
      <w:r>
        <w:rPr>
          <w:noProof/>
        </w:rPr>
        <w:t>4.2</w:t>
      </w:r>
      <w:r>
        <w:rPr>
          <w:rFonts w:asciiTheme="minorHAnsi" w:eastAsiaTheme="minorEastAsia" w:hAnsiTheme="minorHAnsi" w:cstheme="minorBidi"/>
          <w:noProof/>
          <w:kern w:val="2"/>
          <w:sz w:val="24"/>
          <w14:ligatures w14:val="standardContextual"/>
        </w:rPr>
        <w:tab/>
      </w:r>
      <w:r>
        <w:rPr>
          <w:noProof/>
        </w:rPr>
        <w:t>Informatie over de rapporterende aanbieder van cryptoactivadiensten</w:t>
      </w:r>
      <w:r>
        <w:rPr>
          <w:noProof/>
          <w:webHidden/>
        </w:rPr>
        <w:t>—</w:t>
      </w:r>
      <w:r>
        <w:rPr>
          <w:noProof/>
          <w:webHidden/>
        </w:rPr>
        <w:fldChar w:fldCharType="begin"/>
      </w:r>
      <w:r>
        <w:rPr>
          <w:noProof/>
          <w:webHidden/>
        </w:rPr>
        <w:instrText xml:space="preserve"> PAGEREF _Toc207732161 \h </w:instrText>
      </w:r>
      <w:r>
        <w:rPr>
          <w:noProof/>
          <w:webHidden/>
        </w:rPr>
      </w:r>
      <w:r>
        <w:rPr>
          <w:noProof/>
          <w:webHidden/>
        </w:rPr>
        <w:fldChar w:fldCharType="separate"/>
      </w:r>
      <w:r>
        <w:rPr>
          <w:noProof/>
          <w:webHidden/>
        </w:rPr>
        <w:t>10</w:t>
      </w:r>
      <w:r>
        <w:rPr>
          <w:noProof/>
          <w:webHidden/>
        </w:rPr>
        <w:fldChar w:fldCharType="end"/>
      </w:r>
    </w:p>
    <w:p w14:paraId="310843F6" w14:textId="759FBFA5" w:rsidR="000751C3" w:rsidRDefault="000751C3">
      <w:pPr>
        <w:pStyle w:val="Inhopg3"/>
        <w:rPr>
          <w:rFonts w:asciiTheme="minorHAnsi" w:eastAsiaTheme="minorEastAsia" w:hAnsiTheme="minorHAnsi" w:cstheme="minorBidi"/>
          <w:noProof/>
          <w:kern w:val="2"/>
          <w:sz w:val="24"/>
          <w14:ligatures w14:val="standardContextual"/>
        </w:rPr>
      </w:pPr>
      <w:r>
        <w:rPr>
          <w:noProof/>
        </w:rPr>
        <w:t>4.3</w:t>
      </w:r>
      <w:r>
        <w:rPr>
          <w:rFonts w:asciiTheme="minorHAnsi" w:eastAsiaTheme="minorEastAsia" w:hAnsiTheme="minorHAnsi" w:cstheme="minorBidi"/>
          <w:noProof/>
          <w:kern w:val="2"/>
          <w:sz w:val="24"/>
          <w14:ligatures w14:val="standardContextual"/>
        </w:rPr>
        <w:tab/>
      </w:r>
      <w:r>
        <w:rPr>
          <w:noProof/>
        </w:rPr>
        <w:t>Informatie over de gebruikers van cryptoactivadiensten</w:t>
      </w:r>
      <w:r>
        <w:rPr>
          <w:noProof/>
          <w:webHidden/>
        </w:rPr>
        <w:t>—</w:t>
      </w:r>
      <w:r>
        <w:rPr>
          <w:noProof/>
          <w:webHidden/>
        </w:rPr>
        <w:fldChar w:fldCharType="begin"/>
      </w:r>
      <w:r>
        <w:rPr>
          <w:noProof/>
          <w:webHidden/>
        </w:rPr>
        <w:instrText xml:space="preserve"> PAGEREF _Toc207732162 \h </w:instrText>
      </w:r>
      <w:r>
        <w:rPr>
          <w:noProof/>
          <w:webHidden/>
        </w:rPr>
      </w:r>
      <w:r>
        <w:rPr>
          <w:noProof/>
          <w:webHidden/>
        </w:rPr>
        <w:fldChar w:fldCharType="separate"/>
      </w:r>
      <w:r>
        <w:rPr>
          <w:noProof/>
          <w:webHidden/>
        </w:rPr>
        <w:t>11</w:t>
      </w:r>
      <w:r>
        <w:rPr>
          <w:noProof/>
          <w:webHidden/>
        </w:rPr>
        <w:fldChar w:fldCharType="end"/>
      </w:r>
    </w:p>
    <w:p w14:paraId="25240990" w14:textId="49D142C8" w:rsidR="000751C3" w:rsidRDefault="000751C3">
      <w:pPr>
        <w:pStyle w:val="Inhopg3"/>
        <w:rPr>
          <w:rFonts w:asciiTheme="minorHAnsi" w:eastAsiaTheme="minorEastAsia" w:hAnsiTheme="minorHAnsi" w:cstheme="minorBidi"/>
          <w:noProof/>
          <w:kern w:val="2"/>
          <w:sz w:val="24"/>
          <w14:ligatures w14:val="standardContextual"/>
        </w:rPr>
      </w:pPr>
      <w:r>
        <w:rPr>
          <w:noProof/>
        </w:rPr>
        <w:t>4.4</w:t>
      </w:r>
      <w:r>
        <w:rPr>
          <w:rFonts w:asciiTheme="minorHAnsi" w:eastAsiaTheme="minorEastAsia" w:hAnsiTheme="minorHAnsi" w:cstheme="minorBidi"/>
          <w:noProof/>
          <w:kern w:val="2"/>
          <w:sz w:val="24"/>
          <w14:ligatures w14:val="standardContextual"/>
        </w:rPr>
        <w:tab/>
      </w:r>
      <w:r>
        <w:rPr>
          <w:noProof/>
        </w:rPr>
        <w:t>Welke cryptoactiva valt binnen de reikwijdte van DAC8/CARF?</w:t>
      </w:r>
      <w:r>
        <w:rPr>
          <w:noProof/>
          <w:webHidden/>
        </w:rPr>
        <w:t>—</w:t>
      </w:r>
      <w:r>
        <w:rPr>
          <w:noProof/>
          <w:webHidden/>
        </w:rPr>
        <w:fldChar w:fldCharType="begin"/>
      </w:r>
      <w:r>
        <w:rPr>
          <w:noProof/>
          <w:webHidden/>
        </w:rPr>
        <w:instrText xml:space="preserve"> PAGEREF _Toc207732163 \h </w:instrText>
      </w:r>
      <w:r>
        <w:rPr>
          <w:noProof/>
          <w:webHidden/>
        </w:rPr>
      </w:r>
      <w:r>
        <w:rPr>
          <w:noProof/>
          <w:webHidden/>
        </w:rPr>
        <w:fldChar w:fldCharType="separate"/>
      </w:r>
      <w:r>
        <w:rPr>
          <w:noProof/>
          <w:webHidden/>
        </w:rPr>
        <w:t>12</w:t>
      </w:r>
      <w:r>
        <w:rPr>
          <w:noProof/>
          <w:webHidden/>
        </w:rPr>
        <w:fldChar w:fldCharType="end"/>
      </w:r>
    </w:p>
    <w:p w14:paraId="728FA0F1" w14:textId="27B95191" w:rsidR="000751C3" w:rsidRDefault="000751C3">
      <w:pPr>
        <w:pStyle w:val="Inhopg3"/>
        <w:rPr>
          <w:rFonts w:asciiTheme="minorHAnsi" w:eastAsiaTheme="minorEastAsia" w:hAnsiTheme="minorHAnsi" w:cstheme="minorBidi"/>
          <w:noProof/>
          <w:kern w:val="2"/>
          <w:sz w:val="24"/>
          <w14:ligatures w14:val="standardContextual"/>
        </w:rPr>
      </w:pPr>
      <w:r w:rsidRPr="009E1520">
        <w:rPr>
          <w:rFonts w:cs="ArialUnicodeMS_PDF_Subset"/>
          <w:noProof/>
        </w:rPr>
        <w:t>4.5</w:t>
      </w:r>
      <w:r>
        <w:rPr>
          <w:rFonts w:asciiTheme="minorHAnsi" w:eastAsiaTheme="minorEastAsia" w:hAnsiTheme="minorHAnsi" w:cstheme="minorBidi"/>
          <w:noProof/>
          <w:kern w:val="2"/>
          <w:sz w:val="24"/>
          <w14:ligatures w14:val="standardContextual"/>
        </w:rPr>
        <w:tab/>
      </w:r>
      <w:r>
        <w:rPr>
          <w:noProof/>
        </w:rPr>
        <w:t>Te rapporteren transacties door rapporterende aanbieders van cryptoactivadiensten</w:t>
      </w:r>
      <w:r>
        <w:rPr>
          <w:noProof/>
          <w:webHidden/>
        </w:rPr>
        <w:t>—</w:t>
      </w:r>
      <w:r>
        <w:rPr>
          <w:noProof/>
          <w:webHidden/>
        </w:rPr>
        <w:fldChar w:fldCharType="begin"/>
      </w:r>
      <w:r>
        <w:rPr>
          <w:noProof/>
          <w:webHidden/>
        </w:rPr>
        <w:instrText xml:space="preserve"> PAGEREF _Toc207732164 \h </w:instrText>
      </w:r>
      <w:r>
        <w:rPr>
          <w:noProof/>
          <w:webHidden/>
        </w:rPr>
      </w:r>
      <w:r>
        <w:rPr>
          <w:noProof/>
          <w:webHidden/>
        </w:rPr>
        <w:fldChar w:fldCharType="separate"/>
      </w:r>
      <w:r>
        <w:rPr>
          <w:noProof/>
          <w:webHidden/>
        </w:rPr>
        <w:t>12</w:t>
      </w:r>
      <w:r>
        <w:rPr>
          <w:noProof/>
          <w:webHidden/>
        </w:rPr>
        <w:fldChar w:fldCharType="end"/>
      </w:r>
    </w:p>
    <w:p w14:paraId="0B1E3045" w14:textId="1C09BE50" w:rsidR="000751C3" w:rsidRDefault="000751C3">
      <w:pPr>
        <w:pStyle w:val="Inhopg3"/>
        <w:rPr>
          <w:rFonts w:asciiTheme="minorHAnsi" w:eastAsiaTheme="minorEastAsia" w:hAnsiTheme="minorHAnsi" w:cstheme="minorBidi"/>
          <w:noProof/>
          <w:kern w:val="2"/>
          <w:sz w:val="24"/>
          <w14:ligatures w14:val="standardContextual"/>
        </w:rPr>
      </w:pPr>
      <w:r>
        <w:rPr>
          <w:noProof/>
        </w:rPr>
        <w:t>4.6</w:t>
      </w:r>
      <w:r>
        <w:rPr>
          <w:rFonts w:asciiTheme="minorHAnsi" w:eastAsiaTheme="minorEastAsia" w:hAnsiTheme="minorHAnsi" w:cstheme="minorBidi"/>
          <w:noProof/>
          <w:kern w:val="2"/>
          <w:sz w:val="24"/>
          <w14:ligatures w14:val="standardContextual"/>
        </w:rPr>
        <w:tab/>
      </w:r>
      <w:r>
        <w:rPr>
          <w:noProof/>
        </w:rPr>
        <w:t>Bewaarplicht</w:t>
      </w:r>
      <w:r>
        <w:rPr>
          <w:noProof/>
          <w:webHidden/>
        </w:rPr>
        <w:t>—</w:t>
      </w:r>
      <w:r>
        <w:rPr>
          <w:noProof/>
          <w:webHidden/>
        </w:rPr>
        <w:fldChar w:fldCharType="begin"/>
      </w:r>
      <w:r>
        <w:rPr>
          <w:noProof/>
          <w:webHidden/>
        </w:rPr>
        <w:instrText xml:space="preserve"> PAGEREF _Toc207732165 \h </w:instrText>
      </w:r>
      <w:r>
        <w:rPr>
          <w:noProof/>
          <w:webHidden/>
        </w:rPr>
      </w:r>
      <w:r>
        <w:rPr>
          <w:noProof/>
          <w:webHidden/>
        </w:rPr>
        <w:fldChar w:fldCharType="separate"/>
      </w:r>
      <w:r>
        <w:rPr>
          <w:noProof/>
          <w:webHidden/>
        </w:rPr>
        <w:t>15</w:t>
      </w:r>
      <w:r>
        <w:rPr>
          <w:noProof/>
          <w:webHidden/>
        </w:rPr>
        <w:fldChar w:fldCharType="end"/>
      </w:r>
    </w:p>
    <w:p w14:paraId="202E7E24" w14:textId="7B762C2D" w:rsidR="000751C3" w:rsidRDefault="000751C3">
      <w:pPr>
        <w:pStyle w:val="Inhopg3"/>
        <w:rPr>
          <w:rFonts w:asciiTheme="minorHAnsi" w:eastAsiaTheme="minorEastAsia" w:hAnsiTheme="minorHAnsi" w:cstheme="minorBidi"/>
          <w:noProof/>
          <w:kern w:val="2"/>
          <w:sz w:val="24"/>
          <w14:ligatures w14:val="standardContextual"/>
        </w:rPr>
      </w:pPr>
      <w:r>
        <w:rPr>
          <w:noProof/>
        </w:rPr>
        <w:t>4.7</w:t>
      </w:r>
      <w:r>
        <w:rPr>
          <w:rFonts w:asciiTheme="minorHAnsi" w:eastAsiaTheme="minorEastAsia" w:hAnsiTheme="minorHAnsi" w:cstheme="minorBidi"/>
          <w:noProof/>
          <w:kern w:val="2"/>
          <w:sz w:val="24"/>
          <w14:ligatures w14:val="standardContextual"/>
        </w:rPr>
        <w:tab/>
      </w:r>
      <w:r>
        <w:rPr>
          <w:noProof/>
        </w:rPr>
        <w:t>Te rapporteren ultimo waardes (2026)</w:t>
      </w:r>
      <w:r>
        <w:rPr>
          <w:noProof/>
          <w:webHidden/>
        </w:rPr>
        <w:t>—</w:t>
      </w:r>
      <w:r>
        <w:rPr>
          <w:noProof/>
          <w:webHidden/>
        </w:rPr>
        <w:fldChar w:fldCharType="begin"/>
      </w:r>
      <w:r>
        <w:rPr>
          <w:noProof/>
          <w:webHidden/>
        </w:rPr>
        <w:instrText xml:space="preserve"> PAGEREF _Toc207732166 \h </w:instrText>
      </w:r>
      <w:r>
        <w:rPr>
          <w:noProof/>
          <w:webHidden/>
        </w:rPr>
      </w:r>
      <w:r>
        <w:rPr>
          <w:noProof/>
          <w:webHidden/>
        </w:rPr>
        <w:fldChar w:fldCharType="separate"/>
      </w:r>
      <w:r>
        <w:rPr>
          <w:noProof/>
          <w:webHidden/>
        </w:rPr>
        <w:t>15</w:t>
      </w:r>
      <w:r>
        <w:rPr>
          <w:noProof/>
          <w:webHidden/>
        </w:rPr>
        <w:fldChar w:fldCharType="end"/>
      </w:r>
    </w:p>
    <w:p w14:paraId="32A9F1F6" w14:textId="7E8FF84A" w:rsidR="000751C3" w:rsidRDefault="000751C3">
      <w:pPr>
        <w:pStyle w:val="Inhopg3"/>
        <w:rPr>
          <w:rFonts w:asciiTheme="minorHAnsi" w:eastAsiaTheme="minorEastAsia" w:hAnsiTheme="minorHAnsi" w:cstheme="minorBidi"/>
          <w:noProof/>
          <w:kern w:val="2"/>
          <w:sz w:val="24"/>
          <w14:ligatures w14:val="standardContextual"/>
        </w:rPr>
      </w:pPr>
      <w:r>
        <w:rPr>
          <w:noProof/>
        </w:rPr>
        <w:t>4.8</w:t>
      </w:r>
      <w:r>
        <w:rPr>
          <w:rFonts w:asciiTheme="minorHAnsi" w:eastAsiaTheme="minorEastAsia" w:hAnsiTheme="minorHAnsi" w:cstheme="minorBidi"/>
          <w:noProof/>
          <w:kern w:val="2"/>
          <w:sz w:val="24"/>
          <w14:ligatures w14:val="standardContextual"/>
        </w:rPr>
        <w:tab/>
      </w:r>
      <w:r>
        <w:rPr>
          <w:noProof/>
        </w:rPr>
        <w:t>Centraal EU Directory/Centraal register</w:t>
      </w:r>
      <w:r>
        <w:rPr>
          <w:noProof/>
          <w:webHidden/>
        </w:rPr>
        <w:t>—</w:t>
      </w:r>
      <w:r>
        <w:rPr>
          <w:noProof/>
          <w:webHidden/>
        </w:rPr>
        <w:fldChar w:fldCharType="begin"/>
      </w:r>
      <w:r>
        <w:rPr>
          <w:noProof/>
          <w:webHidden/>
        </w:rPr>
        <w:instrText xml:space="preserve"> PAGEREF _Toc207732167 \h </w:instrText>
      </w:r>
      <w:r>
        <w:rPr>
          <w:noProof/>
          <w:webHidden/>
        </w:rPr>
      </w:r>
      <w:r>
        <w:rPr>
          <w:noProof/>
          <w:webHidden/>
        </w:rPr>
        <w:fldChar w:fldCharType="separate"/>
      </w:r>
      <w:r>
        <w:rPr>
          <w:noProof/>
          <w:webHidden/>
        </w:rPr>
        <w:t>16</w:t>
      </w:r>
      <w:r>
        <w:rPr>
          <w:noProof/>
          <w:webHidden/>
        </w:rPr>
        <w:fldChar w:fldCharType="end"/>
      </w:r>
    </w:p>
    <w:p w14:paraId="3CB43DC3" w14:textId="3FE5E5F0" w:rsidR="000751C3" w:rsidRDefault="000751C3">
      <w:pPr>
        <w:pStyle w:val="Inhopg2"/>
        <w:rPr>
          <w:rFonts w:asciiTheme="minorHAnsi" w:eastAsiaTheme="minorEastAsia" w:hAnsiTheme="minorHAnsi" w:cstheme="minorBidi"/>
          <w:b w:val="0"/>
          <w:noProof/>
          <w:kern w:val="2"/>
          <w:sz w:val="24"/>
          <w14:ligatures w14:val="standardContextual"/>
        </w:rPr>
      </w:pPr>
      <w:r>
        <w:rPr>
          <w:noProof/>
        </w:rPr>
        <w:t>5</w:t>
      </w:r>
      <w:r>
        <w:rPr>
          <w:rFonts w:asciiTheme="minorHAnsi" w:eastAsiaTheme="minorEastAsia" w:hAnsiTheme="minorHAnsi" w:cstheme="minorBidi"/>
          <w:b w:val="0"/>
          <w:noProof/>
          <w:kern w:val="2"/>
          <w:sz w:val="24"/>
          <w14:ligatures w14:val="standardContextual"/>
        </w:rPr>
        <w:tab/>
      </w:r>
      <w:r>
        <w:rPr>
          <w:noProof/>
        </w:rPr>
        <w:t>Niet, niet tijdig, niet volledig of niet juist aanleveren</w:t>
      </w:r>
      <w:r>
        <w:rPr>
          <w:noProof/>
          <w:webHidden/>
        </w:rPr>
        <w:t>—</w:t>
      </w:r>
      <w:r>
        <w:rPr>
          <w:noProof/>
          <w:webHidden/>
        </w:rPr>
        <w:fldChar w:fldCharType="begin"/>
      </w:r>
      <w:r>
        <w:rPr>
          <w:noProof/>
          <w:webHidden/>
        </w:rPr>
        <w:instrText xml:space="preserve"> PAGEREF _Toc207732168 \h </w:instrText>
      </w:r>
      <w:r>
        <w:rPr>
          <w:noProof/>
          <w:webHidden/>
        </w:rPr>
      </w:r>
      <w:r>
        <w:rPr>
          <w:noProof/>
          <w:webHidden/>
        </w:rPr>
        <w:fldChar w:fldCharType="separate"/>
      </w:r>
      <w:r>
        <w:rPr>
          <w:noProof/>
          <w:webHidden/>
        </w:rPr>
        <w:t>17</w:t>
      </w:r>
      <w:r>
        <w:rPr>
          <w:noProof/>
          <w:webHidden/>
        </w:rPr>
        <w:fldChar w:fldCharType="end"/>
      </w:r>
    </w:p>
    <w:p w14:paraId="69B2420C" w14:textId="36D3712E" w:rsidR="000751C3" w:rsidRDefault="000751C3">
      <w:pPr>
        <w:pStyle w:val="Inhopg2"/>
        <w:rPr>
          <w:rFonts w:asciiTheme="minorHAnsi" w:eastAsiaTheme="minorEastAsia" w:hAnsiTheme="minorHAnsi" w:cstheme="minorBidi"/>
          <w:b w:val="0"/>
          <w:noProof/>
          <w:kern w:val="2"/>
          <w:sz w:val="24"/>
          <w14:ligatures w14:val="standardContextual"/>
        </w:rPr>
      </w:pPr>
      <w:r>
        <w:rPr>
          <w:noProof/>
        </w:rPr>
        <w:t>6</w:t>
      </w:r>
      <w:r>
        <w:rPr>
          <w:rFonts w:asciiTheme="minorHAnsi" w:eastAsiaTheme="minorEastAsia" w:hAnsiTheme="minorHAnsi" w:cstheme="minorBidi"/>
          <w:b w:val="0"/>
          <w:noProof/>
          <w:kern w:val="2"/>
          <w:sz w:val="24"/>
          <w14:ligatures w14:val="standardContextual"/>
        </w:rPr>
        <w:tab/>
      </w:r>
      <w:r>
        <w:rPr>
          <w:noProof/>
        </w:rPr>
        <w:t>Logistiek</w:t>
      </w:r>
      <w:r>
        <w:rPr>
          <w:noProof/>
          <w:webHidden/>
        </w:rPr>
        <w:t>—</w:t>
      </w:r>
      <w:r>
        <w:rPr>
          <w:noProof/>
          <w:webHidden/>
        </w:rPr>
        <w:fldChar w:fldCharType="begin"/>
      </w:r>
      <w:r>
        <w:rPr>
          <w:noProof/>
          <w:webHidden/>
        </w:rPr>
        <w:instrText xml:space="preserve"> PAGEREF _Toc207732169 \h </w:instrText>
      </w:r>
      <w:r>
        <w:rPr>
          <w:noProof/>
          <w:webHidden/>
        </w:rPr>
      </w:r>
      <w:r>
        <w:rPr>
          <w:noProof/>
          <w:webHidden/>
        </w:rPr>
        <w:fldChar w:fldCharType="separate"/>
      </w:r>
      <w:r>
        <w:rPr>
          <w:noProof/>
          <w:webHidden/>
        </w:rPr>
        <w:t>18</w:t>
      </w:r>
      <w:r>
        <w:rPr>
          <w:noProof/>
          <w:webHidden/>
        </w:rPr>
        <w:fldChar w:fldCharType="end"/>
      </w:r>
    </w:p>
    <w:p w14:paraId="769CA8E3" w14:textId="367AE4EE" w:rsidR="000751C3" w:rsidRDefault="000751C3">
      <w:pPr>
        <w:pStyle w:val="Inhopg3"/>
        <w:rPr>
          <w:rFonts w:asciiTheme="minorHAnsi" w:eastAsiaTheme="minorEastAsia" w:hAnsiTheme="minorHAnsi" w:cstheme="minorBidi"/>
          <w:noProof/>
          <w:kern w:val="2"/>
          <w:sz w:val="24"/>
          <w14:ligatures w14:val="standardContextual"/>
        </w:rPr>
      </w:pPr>
      <w:r>
        <w:rPr>
          <w:noProof/>
        </w:rPr>
        <w:t>6.1</w:t>
      </w:r>
      <w:r>
        <w:rPr>
          <w:rFonts w:asciiTheme="minorHAnsi" w:eastAsiaTheme="minorEastAsia" w:hAnsiTheme="minorHAnsi" w:cstheme="minorBidi"/>
          <w:noProof/>
          <w:kern w:val="2"/>
          <w:sz w:val="24"/>
          <w14:ligatures w14:val="standardContextual"/>
        </w:rPr>
        <w:tab/>
      </w:r>
      <w:r>
        <w:rPr>
          <w:noProof/>
        </w:rPr>
        <w:t>Algemeen</w:t>
      </w:r>
      <w:r>
        <w:rPr>
          <w:noProof/>
          <w:webHidden/>
        </w:rPr>
        <w:t>—</w:t>
      </w:r>
      <w:r>
        <w:rPr>
          <w:noProof/>
          <w:webHidden/>
        </w:rPr>
        <w:fldChar w:fldCharType="begin"/>
      </w:r>
      <w:r>
        <w:rPr>
          <w:noProof/>
          <w:webHidden/>
        </w:rPr>
        <w:instrText xml:space="preserve"> PAGEREF _Toc207732170 \h </w:instrText>
      </w:r>
      <w:r>
        <w:rPr>
          <w:noProof/>
          <w:webHidden/>
        </w:rPr>
      </w:r>
      <w:r>
        <w:rPr>
          <w:noProof/>
          <w:webHidden/>
        </w:rPr>
        <w:fldChar w:fldCharType="separate"/>
      </w:r>
      <w:r>
        <w:rPr>
          <w:noProof/>
          <w:webHidden/>
        </w:rPr>
        <w:t>18</w:t>
      </w:r>
      <w:r>
        <w:rPr>
          <w:noProof/>
          <w:webHidden/>
        </w:rPr>
        <w:fldChar w:fldCharType="end"/>
      </w:r>
    </w:p>
    <w:p w14:paraId="73080732" w14:textId="0065F802" w:rsidR="000751C3" w:rsidRDefault="000751C3">
      <w:pPr>
        <w:pStyle w:val="Inhopg3"/>
        <w:rPr>
          <w:rFonts w:asciiTheme="minorHAnsi" w:eastAsiaTheme="minorEastAsia" w:hAnsiTheme="minorHAnsi" w:cstheme="minorBidi"/>
          <w:noProof/>
          <w:kern w:val="2"/>
          <w:sz w:val="24"/>
          <w14:ligatures w14:val="standardContextual"/>
        </w:rPr>
      </w:pPr>
      <w:r>
        <w:rPr>
          <w:noProof/>
        </w:rPr>
        <w:t>6.2</w:t>
      </w:r>
      <w:r>
        <w:rPr>
          <w:rFonts w:asciiTheme="minorHAnsi" w:eastAsiaTheme="minorEastAsia" w:hAnsiTheme="minorHAnsi" w:cstheme="minorBidi"/>
          <w:noProof/>
          <w:kern w:val="2"/>
          <w:sz w:val="24"/>
          <w14:ligatures w14:val="standardContextual"/>
        </w:rPr>
        <w:tab/>
      </w:r>
      <w:r>
        <w:rPr>
          <w:noProof/>
        </w:rPr>
        <w:t>Heraanleveringen, correcties, aanvullingen en intrekkingen</w:t>
      </w:r>
      <w:r>
        <w:rPr>
          <w:noProof/>
          <w:webHidden/>
        </w:rPr>
        <w:t>—</w:t>
      </w:r>
      <w:r>
        <w:rPr>
          <w:noProof/>
          <w:webHidden/>
        </w:rPr>
        <w:fldChar w:fldCharType="begin"/>
      </w:r>
      <w:r>
        <w:rPr>
          <w:noProof/>
          <w:webHidden/>
        </w:rPr>
        <w:instrText xml:space="preserve"> PAGEREF _Toc207732171 \h </w:instrText>
      </w:r>
      <w:r>
        <w:rPr>
          <w:noProof/>
          <w:webHidden/>
        </w:rPr>
      </w:r>
      <w:r>
        <w:rPr>
          <w:noProof/>
          <w:webHidden/>
        </w:rPr>
        <w:fldChar w:fldCharType="separate"/>
      </w:r>
      <w:r>
        <w:rPr>
          <w:noProof/>
          <w:webHidden/>
        </w:rPr>
        <w:t>18</w:t>
      </w:r>
      <w:r>
        <w:rPr>
          <w:noProof/>
          <w:webHidden/>
        </w:rPr>
        <w:fldChar w:fldCharType="end"/>
      </w:r>
    </w:p>
    <w:p w14:paraId="1608F763" w14:textId="1C381766" w:rsidR="000751C3" w:rsidRDefault="000751C3">
      <w:pPr>
        <w:pStyle w:val="Inhopg2"/>
        <w:rPr>
          <w:rFonts w:asciiTheme="minorHAnsi" w:eastAsiaTheme="minorEastAsia" w:hAnsiTheme="minorHAnsi" w:cstheme="minorBidi"/>
          <w:b w:val="0"/>
          <w:noProof/>
          <w:kern w:val="2"/>
          <w:sz w:val="24"/>
          <w14:ligatures w14:val="standardContextual"/>
        </w:rPr>
      </w:pPr>
      <w:r>
        <w:rPr>
          <w:noProof/>
        </w:rPr>
        <w:t>7</w:t>
      </w:r>
      <w:r>
        <w:rPr>
          <w:rFonts w:asciiTheme="minorHAnsi" w:eastAsiaTheme="minorEastAsia" w:hAnsiTheme="minorHAnsi" w:cstheme="minorBidi"/>
          <w:b w:val="0"/>
          <w:noProof/>
          <w:kern w:val="2"/>
          <w:sz w:val="24"/>
          <w14:ligatures w14:val="standardContextual"/>
        </w:rPr>
        <w:tab/>
      </w:r>
      <w:r>
        <w:rPr>
          <w:noProof/>
        </w:rPr>
        <w:t>Ondersteuning</w:t>
      </w:r>
      <w:r>
        <w:rPr>
          <w:noProof/>
          <w:webHidden/>
        </w:rPr>
        <w:t>—</w:t>
      </w:r>
      <w:r>
        <w:rPr>
          <w:noProof/>
          <w:webHidden/>
        </w:rPr>
        <w:fldChar w:fldCharType="begin"/>
      </w:r>
      <w:r>
        <w:rPr>
          <w:noProof/>
          <w:webHidden/>
        </w:rPr>
        <w:instrText xml:space="preserve"> PAGEREF _Toc207732172 \h </w:instrText>
      </w:r>
      <w:r>
        <w:rPr>
          <w:noProof/>
          <w:webHidden/>
        </w:rPr>
      </w:r>
      <w:r>
        <w:rPr>
          <w:noProof/>
          <w:webHidden/>
        </w:rPr>
        <w:fldChar w:fldCharType="separate"/>
      </w:r>
      <w:r>
        <w:rPr>
          <w:noProof/>
          <w:webHidden/>
        </w:rPr>
        <w:t>20</w:t>
      </w:r>
      <w:r>
        <w:rPr>
          <w:noProof/>
          <w:webHidden/>
        </w:rPr>
        <w:fldChar w:fldCharType="end"/>
      </w:r>
    </w:p>
    <w:p w14:paraId="71074BEE" w14:textId="56EE8710" w:rsidR="000751C3" w:rsidRDefault="000751C3">
      <w:pPr>
        <w:pStyle w:val="Inhopg3"/>
        <w:rPr>
          <w:rFonts w:asciiTheme="minorHAnsi" w:eastAsiaTheme="minorEastAsia" w:hAnsiTheme="minorHAnsi" w:cstheme="minorBidi"/>
          <w:noProof/>
          <w:kern w:val="2"/>
          <w:sz w:val="24"/>
          <w14:ligatures w14:val="standardContextual"/>
        </w:rPr>
      </w:pPr>
      <w:r>
        <w:rPr>
          <w:noProof/>
        </w:rPr>
        <w:t>7.1</w:t>
      </w:r>
      <w:r>
        <w:rPr>
          <w:rFonts w:asciiTheme="minorHAnsi" w:eastAsiaTheme="minorEastAsia" w:hAnsiTheme="minorHAnsi" w:cstheme="minorBidi"/>
          <w:noProof/>
          <w:kern w:val="2"/>
          <w:sz w:val="24"/>
          <w14:ligatures w14:val="standardContextual"/>
        </w:rPr>
        <w:tab/>
      </w:r>
      <w:r>
        <w:rPr>
          <w:noProof/>
        </w:rPr>
        <w:t>Dienstverlening</w:t>
      </w:r>
      <w:r>
        <w:rPr>
          <w:noProof/>
          <w:webHidden/>
        </w:rPr>
        <w:t>—</w:t>
      </w:r>
      <w:r>
        <w:rPr>
          <w:noProof/>
          <w:webHidden/>
        </w:rPr>
        <w:fldChar w:fldCharType="begin"/>
      </w:r>
      <w:r>
        <w:rPr>
          <w:noProof/>
          <w:webHidden/>
        </w:rPr>
        <w:instrText xml:space="preserve"> PAGEREF _Toc207732173 \h </w:instrText>
      </w:r>
      <w:r>
        <w:rPr>
          <w:noProof/>
          <w:webHidden/>
        </w:rPr>
      </w:r>
      <w:r>
        <w:rPr>
          <w:noProof/>
          <w:webHidden/>
        </w:rPr>
        <w:fldChar w:fldCharType="separate"/>
      </w:r>
      <w:r>
        <w:rPr>
          <w:noProof/>
          <w:webHidden/>
        </w:rPr>
        <w:t>20</w:t>
      </w:r>
      <w:r>
        <w:rPr>
          <w:noProof/>
          <w:webHidden/>
        </w:rPr>
        <w:fldChar w:fldCharType="end"/>
      </w:r>
    </w:p>
    <w:p w14:paraId="3FF8E7CA" w14:textId="71AA91FE" w:rsidR="000751C3" w:rsidRDefault="000751C3">
      <w:pPr>
        <w:pStyle w:val="Inhopg3"/>
        <w:rPr>
          <w:rFonts w:asciiTheme="minorHAnsi" w:eastAsiaTheme="minorEastAsia" w:hAnsiTheme="minorHAnsi" w:cstheme="minorBidi"/>
          <w:noProof/>
          <w:kern w:val="2"/>
          <w:sz w:val="24"/>
          <w14:ligatures w14:val="standardContextual"/>
        </w:rPr>
      </w:pPr>
      <w:r>
        <w:rPr>
          <w:noProof/>
        </w:rPr>
        <w:t>7.2</w:t>
      </w:r>
      <w:r>
        <w:rPr>
          <w:rFonts w:asciiTheme="minorHAnsi" w:eastAsiaTheme="minorEastAsia" w:hAnsiTheme="minorHAnsi" w:cstheme="minorBidi"/>
          <w:noProof/>
          <w:kern w:val="2"/>
          <w:sz w:val="24"/>
          <w14:ligatures w14:val="standardContextual"/>
        </w:rPr>
        <w:tab/>
      </w:r>
      <w:r>
        <w:rPr>
          <w:noProof/>
        </w:rPr>
        <w:t>Contactmogelijkheden</w:t>
      </w:r>
      <w:r>
        <w:rPr>
          <w:noProof/>
          <w:webHidden/>
        </w:rPr>
        <w:t>—</w:t>
      </w:r>
      <w:r>
        <w:rPr>
          <w:noProof/>
          <w:webHidden/>
        </w:rPr>
        <w:fldChar w:fldCharType="begin"/>
      </w:r>
      <w:r>
        <w:rPr>
          <w:noProof/>
          <w:webHidden/>
        </w:rPr>
        <w:instrText xml:space="preserve"> PAGEREF _Toc207732174 \h </w:instrText>
      </w:r>
      <w:r>
        <w:rPr>
          <w:noProof/>
          <w:webHidden/>
        </w:rPr>
      </w:r>
      <w:r>
        <w:rPr>
          <w:noProof/>
          <w:webHidden/>
        </w:rPr>
        <w:fldChar w:fldCharType="separate"/>
      </w:r>
      <w:r>
        <w:rPr>
          <w:noProof/>
          <w:webHidden/>
        </w:rPr>
        <w:t>20</w:t>
      </w:r>
      <w:r>
        <w:rPr>
          <w:noProof/>
          <w:webHidden/>
        </w:rPr>
        <w:fldChar w:fldCharType="end"/>
      </w:r>
    </w:p>
    <w:p w14:paraId="4AE113D0" w14:textId="43849765" w:rsidR="000751C3" w:rsidRDefault="000751C3">
      <w:pPr>
        <w:pStyle w:val="Inhopg2"/>
        <w:rPr>
          <w:rFonts w:asciiTheme="minorHAnsi" w:eastAsiaTheme="minorEastAsia" w:hAnsiTheme="minorHAnsi" w:cstheme="minorBidi"/>
          <w:b w:val="0"/>
          <w:noProof/>
          <w:kern w:val="2"/>
          <w:sz w:val="24"/>
          <w14:ligatures w14:val="standardContextual"/>
        </w:rPr>
      </w:pPr>
      <w:r>
        <w:rPr>
          <w:noProof/>
        </w:rPr>
        <w:t>Bijlage 1 “Wet implementatie EU-Richtlijn gegevensuitwisseling cryptoactiva”</w:t>
      </w:r>
      <w:r>
        <w:rPr>
          <w:noProof/>
          <w:webHidden/>
        </w:rPr>
        <w:t>—</w:t>
      </w:r>
      <w:r>
        <w:rPr>
          <w:noProof/>
          <w:webHidden/>
        </w:rPr>
        <w:fldChar w:fldCharType="begin"/>
      </w:r>
      <w:r>
        <w:rPr>
          <w:noProof/>
          <w:webHidden/>
        </w:rPr>
        <w:instrText xml:space="preserve"> PAGEREF _Toc207732175 \h </w:instrText>
      </w:r>
      <w:r>
        <w:rPr>
          <w:noProof/>
          <w:webHidden/>
        </w:rPr>
      </w:r>
      <w:r>
        <w:rPr>
          <w:noProof/>
          <w:webHidden/>
        </w:rPr>
        <w:fldChar w:fldCharType="separate"/>
      </w:r>
      <w:r>
        <w:rPr>
          <w:noProof/>
          <w:webHidden/>
        </w:rPr>
        <w:t>22</w:t>
      </w:r>
      <w:r>
        <w:rPr>
          <w:noProof/>
          <w:webHidden/>
        </w:rPr>
        <w:fldChar w:fldCharType="end"/>
      </w:r>
    </w:p>
    <w:p w14:paraId="37C1EDD3" w14:textId="00BB1503" w:rsidR="000751C3" w:rsidRDefault="000751C3">
      <w:pPr>
        <w:pStyle w:val="Inhopg2"/>
        <w:rPr>
          <w:rFonts w:asciiTheme="minorHAnsi" w:eastAsiaTheme="minorEastAsia" w:hAnsiTheme="minorHAnsi" w:cstheme="minorBidi"/>
          <w:b w:val="0"/>
          <w:noProof/>
          <w:kern w:val="2"/>
          <w:sz w:val="24"/>
          <w14:ligatures w14:val="standardContextual"/>
        </w:rPr>
      </w:pPr>
      <w:r w:rsidRPr="009E1520">
        <w:rPr>
          <w:noProof/>
        </w:rPr>
        <w:t>Bijlage 2 Verklarende woordenlijst</w:t>
      </w:r>
      <w:r>
        <w:rPr>
          <w:noProof/>
          <w:webHidden/>
        </w:rPr>
        <w:t>—</w:t>
      </w:r>
      <w:r>
        <w:rPr>
          <w:noProof/>
          <w:webHidden/>
        </w:rPr>
        <w:fldChar w:fldCharType="begin"/>
      </w:r>
      <w:r>
        <w:rPr>
          <w:noProof/>
          <w:webHidden/>
        </w:rPr>
        <w:instrText xml:space="preserve"> PAGEREF _Toc207732176 \h </w:instrText>
      </w:r>
      <w:r>
        <w:rPr>
          <w:noProof/>
          <w:webHidden/>
        </w:rPr>
      </w:r>
      <w:r>
        <w:rPr>
          <w:noProof/>
          <w:webHidden/>
        </w:rPr>
        <w:fldChar w:fldCharType="separate"/>
      </w:r>
      <w:r>
        <w:rPr>
          <w:noProof/>
          <w:webHidden/>
        </w:rPr>
        <w:t>26</w:t>
      </w:r>
      <w:r>
        <w:rPr>
          <w:noProof/>
          <w:webHidden/>
        </w:rPr>
        <w:fldChar w:fldCharType="end"/>
      </w:r>
    </w:p>
    <w:p w14:paraId="25CD9AA2" w14:textId="74E328E2" w:rsidR="000751C3" w:rsidRDefault="000751C3">
      <w:pPr>
        <w:pStyle w:val="Inhopg2"/>
        <w:rPr>
          <w:rFonts w:asciiTheme="minorHAnsi" w:eastAsiaTheme="minorEastAsia" w:hAnsiTheme="minorHAnsi" w:cstheme="minorBidi"/>
          <w:b w:val="0"/>
          <w:noProof/>
          <w:kern w:val="2"/>
          <w:sz w:val="24"/>
          <w14:ligatures w14:val="standardContextual"/>
        </w:rPr>
      </w:pPr>
      <w:r w:rsidRPr="009E1520">
        <w:rPr>
          <w:noProof/>
        </w:rPr>
        <w:t>Slotbepalingen</w:t>
      </w:r>
      <w:r>
        <w:rPr>
          <w:noProof/>
          <w:webHidden/>
        </w:rPr>
        <w:t>—</w:t>
      </w:r>
      <w:r>
        <w:rPr>
          <w:noProof/>
          <w:webHidden/>
        </w:rPr>
        <w:fldChar w:fldCharType="begin"/>
      </w:r>
      <w:r>
        <w:rPr>
          <w:noProof/>
          <w:webHidden/>
        </w:rPr>
        <w:instrText xml:space="preserve"> PAGEREF _Toc207732177 \h </w:instrText>
      </w:r>
      <w:r>
        <w:rPr>
          <w:noProof/>
          <w:webHidden/>
        </w:rPr>
      </w:r>
      <w:r>
        <w:rPr>
          <w:noProof/>
          <w:webHidden/>
        </w:rPr>
        <w:fldChar w:fldCharType="separate"/>
      </w:r>
      <w:r>
        <w:rPr>
          <w:noProof/>
          <w:webHidden/>
        </w:rPr>
        <w:t>27</w:t>
      </w:r>
      <w:r>
        <w:rPr>
          <w:noProof/>
          <w:webHidden/>
        </w:rPr>
        <w:fldChar w:fldCharType="end"/>
      </w:r>
    </w:p>
    <w:p w14:paraId="79D36216" w14:textId="5E5E08CD" w:rsidR="00B66A66" w:rsidRPr="00386E3F" w:rsidRDefault="00C829B5" w:rsidP="00B66A66">
      <w:pPr>
        <w:pStyle w:val="Kop1"/>
        <w:numPr>
          <w:ilvl w:val="0"/>
          <w:numId w:val="5"/>
        </w:numPr>
        <w:contextualSpacing w:val="0"/>
      </w:pPr>
      <w:r w:rsidRPr="00386E3F">
        <w:lastRenderedPageBreak/>
        <w:fldChar w:fldCharType="end"/>
      </w:r>
      <w:bookmarkStart w:id="0" w:name="_Toc333225154"/>
      <w:bookmarkStart w:id="1" w:name="_Toc444590519"/>
      <w:r w:rsidR="00B66A66" w:rsidRPr="00386E3F">
        <w:t xml:space="preserve"> </w:t>
      </w:r>
      <w:bookmarkStart w:id="2" w:name="_Toc449610360"/>
      <w:bookmarkStart w:id="3" w:name="_Toc207732141"/>
      <w:r w:rsidR="00B66A66" w:rsidRPr="00386E3F">
        <w:t>Inleiding</w:t>
      </w:r>
      <w:bookmarkEnd w:id="0"/>
      <w:bookmarkEnd w:id="1"/>
      <w:bookmarkEnd w:id="2"/>
      <w:bookmarkEnd w:id="3"/>
    </w:p>
    <w:p w14:paraId="179EBBD2" w14:textId="77777777" w:rsidR="0013136A" w:rsidRPr="00386E3F" w:rsidRDefault="0013136A" w:rsidP="0013136A">
      <w:pPr>
        <w:pStyle w:val="Kop2"/>
      </w:pPr>
      <w:bookmarkStart w:id="4" w:name="_Toc207732142"/>
      <w:bookmarkStart w:id="5" w:name="_Toc449610361"/>
      <w:r w:rsidRPr="00386E3F">
        <w:t>Deel 1 van de</w:t>
      </w:r>
      <w:r>
        <w:t xml:space="preserve">ze </w:t>
      </w:r>
      <w:r w:rsidRPr="00386E3F">
        <w:t>handleiding</w:t>
      </w:r>
      <w:bookmarkEnd w:id="4"/>
    </w:p>
    <w:p w14:paraId="3F9831FE" w14:textId="77777777" w:rsidR="0013136A" w:rsidRPr="00386E3F" w:rsidRDefault="0013136A" w:rsidP="0013136A"/>
    <w:p w14:paraId="65847EDE" w14:textId="0221140F" w:rsidR="0013136A" w:rsidRPr="0013136A" w:rsidRDefault="0013136A" w:rsidP="00894DA3">
      <w:pPr>
        <w:jc w:val="both"/>
        <w:rPr>
          <w:szCs w:val="18"/>
        </w:rPr>
      </w:pPr>
      <w:r w:rsidRPr="0013136A">
        <w:rPr>
          <w:szCs w:val="18"/>
        </w:rPr>
        <w:t xml:space="preserve">Na de inleiding in hoofdstuk 1, waarin de aanleiding voor deze </w:t>
      </w:r>
      <w:r>
        <w:rPr>
          <w:szCs w:val="18"/>
        </w:rPr>
        <w:t>h</w:t>
      </w:r>
      <w:r w:rsidRPr="0013136A">
        <w:rPr>
          <w:szCs w:val="18"/>
        </w:rPr>
        <w:t>andleiding wordt toegelicht, behandelt hoofdstuk 2 enkele juridische aspecten die verband houden met de rapportageplicht in Nederland. In hoofdstuk 3 wordt nader ingegaan op de verschillende typen rapporterende aanbieders van cryptoactivadiensten.</w:t>
      </w:r>
      <w:r w:rsidR="00894DA3">
        <w:rPr>
          <w:szCs w:val="18"/>
        </w:rPr>
        <w:t xml:space="preserve"> </w:t>
      </w:r>
      <w:r w:rsidRPr="0013136A">
        <w:rPr>
          <w:szCs w:val="18"/>
        </w:rPr>
        <w:t>Hoofdstuk 4 richt zich op de gegevens die aanbieders van cryptoactivadiensten en exploitanten van cryptoactiva verzamelen en rapporteren aan de Belastingdienst.</w:t>
      </w:r>
    </w:p>
    <w:p w14:paraId="2704004A" w14:textId="77777777" w:rsidR="0013136A" w:rsidRDefault="0013136A" w:rsidP="0013136A">
      <w:pPr>
        <w:rPr>
          <w:szCs w:val="18"/>
        </w:rPr>
      </w:pPr>
    </w:p>
    <w:p w14:paraId="5F8BD11A" w14:textId="77777777" w:rsidR="0013136A" w:rsidRDefault="0013136A" w:rsidP="0013136A">
      <w:pPr>
        <w:rPr>
          <w:szCs w:val="18"/>
        </w:rPr>
      </w:pPr>
      <w:r w:rsidRPr="0013136A">
        <w:rPr>
          <w:szCs w:val="18"/>
        </w:rPr>
        <w:t>Deze handleiding is bedoeld als hulpmiddel voor rapporterende aanbieders van cryptoactiva. Er kunnen geen rechten aan worden ontleend. Voor de formele bepalingen wordt verwezen naar de WIB, AWR, het Uitvoeringsbesluit internationale gegevensuitwisseling (IH), en de officieel gepubliceerde documenten van de EU en de OESO.</w:t>
      </w:r>
    </w:p>
    <w:p w14:paraId="1CCE149F" w14:textId="77777777" w:rsidR="001725A6" w:rsidRDefault="001725A6" w:rsidP="0013136A">
      <w:pPr>
        <w:rPr>
          <w:szCs w:val="18"/>
        </w:rPr>
      </w:pPr>
    </w:p>
    <w:p w14:paraId="29FDD47B" w14:textId="77777777" w:rsidR="001725A6" w:rsidRPr="00ED0B74" w:rsidRDefault="001725A6" w:rsidP="001725A6">
      <w:pPr>
        <w:jc w:val="both"/>
      </w:pPr>
      <w:r w:rsidRPr="00ED0B74">
        <w:t>In een apart deel 2 wordt de Berichtspecificatie XML/XSD beschreven. In een apart deel 3 wordt de berichtspecifi</w:t>
      </w:r>
      <w:r>
        <w:t>c</w:t>
      </w:r>
      <w:r w:rsidRPr="00ED0B74">
        <w:t xml:space="preserve">atie XML/XSD beschreven wat betreft de statusberichten. </w:t>
      </w:r>
    </w:p>
    <w:p w14:paraId="09CD3FDD" w14:textId="77777777" w:rsidR="001725A6" w:rsidRPr="00ED0B74" w:rsidRDefault="001725A6" w:rsidP="001725A6">
      <w:pPr>
        <w:jc w:val="both"/>
      </w:pPr>
    </w:p>
    <w:p w14:paraId="2217B836" w14:textId="77777777" w:rsidR="001725A6" w:rsidRPr="00386E3F" w:rsidRDefault="001725A6" w:rsidP="001725A6">
      <w:pPr>
        <w:jc w:val="both"/>
      </w:pPr>
      <w:r w:rsidRPr="00ED0B74">
        <w:t xml:space="preserve">De handleidingen worden gepubliceerd op: </w:t>
      </w:r>
      <w:hyperlink r:id="rId10" w:history="1">
        <w:r w:rsidRPr="00ED0B74">
          <w:rPr>
            <w:rStyle w:val="Hyperlink"/>
          </w:rPr>
          <w:t>odb.belastingdienst.nl</w:t>
        </w:r>
      </w:hyperlink>
      <w:r w:rsidRPr="00386E3F">
        <w:t>.</w:t>
      </w:r>
    </w:p>
    <w:p w14:paraId="3D66E286" w14:textId="77777777" w:rsidR="00B66A66" w:rsidRPr="00386E3F" w:rsidRDefault="00B66A66" w:rsidP="00B66A66">
      <w:pPr>
        <w:pStyle w:val="Kop2"/>
      </w:pPr>
      <w:bookmarkStart w:id="6" w:name="_Toc207732143"/>
      <w:r w:rsidRPr="00386E3F">
        <w:t>Algemeen</w:t>
      </w:r>
      <w:bookmarkEnd w:id="5"/>
      <w:bookmarkEnd w:id="6"/>
    </w:p>
    <w:p w14:paraId="2F0D0453" w14:textId="77777777" w:rsidR="00B66A66" w:rsidRPr="00386E3F" w:rsidRDefault="00B66A66" w:rsidP="00B66A66"/>
    <w:p w14:paraId="3B5DFADC" w14:textId="714F91BC" w:rsidR="00590DB8" w:rsidRDefault="00B66A66" w:rsidP="00894DA3">
      <w:pPr>
        <w:jc w:val="both"/>
      </w:pPr>
      <w:r w:rsidRPr="00386E3F">
        <w:t>Deze handleiding is bestemd voor</w:t>
      </w:r>
      <w:r w:rsidR="00DE3270">
        <w:t xml:space="preserve"> aanbieders van cryptoactivadiensten </w:t>
      </w:r>
      <w:r w:rsidRPr="00386E3F">
        <w:t xml:space="preserve">die </w:t>
      </w:r>
      <w:r w:rsidR="00D03C83">
        <w:t xml:space="preserve">met ingang </w:t>
      </w:r>
      <w:r w:rsidR="00580FF8">
        <w:t xml:space="preserve">vanaf </w:t>
      </w:r>
      <w:r w:rsidR="003E624D">
        <w:t>1-1-2026</w:t>
      </w:r>
      <w:r w:rsidR="004B7B9D">
        <w:t xml:space="preserve"> </w:t>
      </w:r>
      <w:r w:rsidR="00B1031E">
        <w:t xml:space="preserve">identificerende gegevens en </w:t>
      </w:r>
      <w:r w:rsidR="00D03C83">
        <w:t>transactie</w:t>
      </w:r>
      <w:r w:rsidR="00B1031E">
        <w:t>gegevens</w:t>
      </w:r>
      <w:r w:rsidR="00D03C83">
        <w:t xml:space="preserve"> van hun gebruikers </w:t>
      </w:r>
      <w:r w:rsidR="00FC763E">
        <w:t xml:space="preserve">moeten </w:t>
      </w:r>
      <w:r w:rsidR="003E624D">
        <w:t xml:space="preserve">verzamelen en </w:t>
      </w:r>
      <w:r w:rsidR="00D03C83">
        <w:t>aanleveren aan de Belastingdienst.</w:t>
      </w:r>
      <w:r w:rsidR="003E75B4" w:rsidRPr="00B1031E">
        <w:rPr>
          <w:rStyle w:val="Voetnootmarkering"/>
          <w:vertAlign w:val="superscript"/>
        </w:rPr>
        <w:footnoteReference w:id="2"/>
      </w:r>
      <w:r w:rsidR="00D03C83" w:rsidRPr="00B1031E">
        <w:rPr>
          <w:vertAlign w:val="superscript"/>
        </w:rPr>
        <w:t xml:space="preserve"> </w:t>
      </w:r>
      <w:r w:rsidR="00FC763E">
        <w:t xml:space="preserve">Dit geldt zowel </w:t>
      </w:r>
      <w:r w:rsidR="00DC3C72">
        <w:t xml:space="preserve">voor </w:t>
      </w:r>
      <w:r w:rsidR="00FC763E">
        <w:t>niet</w:t>
      </w:r>
      <w:r w:rsidR="004F592B">
        <w:t>-</w:t>
      </w:r>
      <w:r w:rsidR="00FC763E">
        <w:t>ingezeten (</w:t>
      </w:r>
      <w:r w:rsidR="008E62C8">
        <w:t>‘</w:t>
      </w:r>
      <w:r w:rsidR="00FC763E">
        <w:t>buitenlandse gebruikers</w:t>
      </w:r>
      <w:r w:rsidR="008E62C8">
        <w:t>’</w:t>
      </w:r>
      <w:r w:rsidR="00FC763E">
        <w:t>) als voor ingezetenen (</w:t>
      </w:r>
      <w:r w:rsidR="008E62C8">
        <w:t>‘</w:t>
      </w:r>
      <w:r w:rsidR="00FC763E">
        <w:t xml:space="preserve">binnenlandse </w:t>
      </w:r>
      <w:r w:rsidR="008E62C8">
        <w:t>ge</w:t>
      </w:r>
      <w:r w:rsidR="00FC763E">
        <w:t>bruikers</w:t>
      </w:r>
      <w:r w:rsidR="008E62C8">
        <w:t>’</w:t>
      </w:r>
      <w:r w:rsidR="00FC763E">
        <w:t xml:space="preserve">). </w:t>
      </w:r>
      <w:r w:rsidR="003E624D">
        <w:t>R</w:t>
      </w:r>
      <w:r w:rsidR="004B7B9D">
        <w:t>apporterende aanbieders moeten</w:t>
      </w:r>
      <w:r w:rsidR="003E624D">
        <w:t xml:space="preserve"> deze gegevens</w:t>
      </w:r>
      <w:r w:rsidR="004B7B9D">
        <w:t xml:space="preserve"> uiterlijk 31 januari van het jaar volgend op het rapportagejaar aan de Belastingdienst hebben verstrekt. </w:t>
      </w:r>
      <w:r w:rsidR="00FE3DDC">
        <w:t>G</w:t>
      </w:r>
      <w:r w:rsidR="00183E61">
        <w:t xml:space="preserve">egevens </w:t>
      </w:r>
      <w:r w:rsidR="00FE3DDC">
        <w:t xml:space="preserve">over ‘buitenlandse gebruikers’ </w:t>
      </w:r>
      <w:r w:rsidR="00183E61">
        <w:t xml:space="preserve">worden </w:t>
      </w:r>
      <w:r w:rsidR="009C5DB4">
        <w:t xml:space="preserve">vervolgens </w:t>
      </w:r>
      <w:r w:rsidR="00D03C83">
        <w:t xml:space="preserve">automatisch gedeeld </w:t>
      </w:r>
      <w:r w:rsidR="00183E61">
        <w:t xml:space="preserve">met </w:t>
      </w:r>
      <w:r w:rsidR="00D03C83">
        <w:t xml:space="preserve">de </w:t>
      </w:r>
      <w:r w:rsidR="00183E61">
        <w:t>b</w:t>
      </w:r>
      <w:r w:rsidR="00D03C83">
        <w:t>elastingdiensten van de verschillende EU-lidstaten</w:t>
      </w:r>
      <w:r w:rsidR="003E624D">
        <w:t xml:space="preserve"> en </w:t>
      </w:r>
      <w:r w:rsidR="00FE3DDC">
        <w:t xml:space="preserve">met </w:t>
      </w:r>
      <w:r w:rsidR="003E624D">
        <w:t>derde landen</w:t>
      </w:r>
      <w:r w:rsidR="00FE3DDC">
        <w:t xml:space="preserve"> waarmee Nederland een uitwisselingsverdrag heeft</w:t>
      </w:r>
      <w:r w:rsidR="00D03C83">
        <w:t>.</w:t>
      </w:r>
      <w:r w:rsidR="009C5DB4">
        <w:t xml:space="preserve"> </w:t>
      </w:r>
    </w:p>
    <w:p w14:paraId="708566BA" w14:textId="36462202" w:rsidR="007628D4" w:rsidRPr="00BF5DEB" w:rsidRDefault="007628D4" w:rsidP="00FE3DDC">
      <w:pPr>
        <w:pStyle w:val="Kop3"/>
        <w:jc w:val="both"/>
      </w:pPr>
      <w:bookmarkStart w:id="7" w:name="_Toc207732144"/>
      <w:r w:rsidRPr="00BF5DEB">
        <w:t>Achtergrond</w:t>
      </w:r>
      <w:bookmarkEnd w:id="7"/>
    </w:p>
    <w:p w14:paraId="08CAE1D0" w14:textId="5A3E8159" w:rsidR="007628D4" w:rsidRDefault="007628D4" w:rsidP="00FE3DDC">
      <w:pPr>
        <w:autoSpaceDE w:val="0"/>
        <w:autoSpaceDN w:val="0"/>
        <w:adjustRightInd w:val="0"/>
        <w:jc w:val="both"/>
      </w:pPr>
      <w:r>
        <w:t>De digitalisering van de economie en het belang van de markt voor cryptoactiva is de afgelopen jaren verder gegroeid.</w:t>
      </w:r>
      <w:r w:rsidR="00CF4D75">
        <w:t xml:space="preserve"> Het decentrale, grensoverschrijdende </w:t>
      </w:r>
      <w:r w:rsidR="00355945">
        <w:t xml:space="preserve">karakter </w:t>
      </w:r>
      <w:r w:rsidR="00CF4D75">
        <w:t>van cryptoactiva</w:t>
      </w:r>
      <w:r>
        <w:t xml:space="preserve"> </w:t>
      </w:r>
      <w:r w:rsidR="00CF4D75">
        <w:t>leidt tot nieuwe uitdagingen voor</w:t>
      </w:r>
      <w:r>
        <w:t xml:space="preserve"> </w:t>
      </w:r>
      <w:r w:rsidR="00CF4D75">
        <w:t>b</w:t>
      </w:r>
      <w:r>
        <w:t>elastingautoriteiten</w:t>
      </w:r>
      <w:r w:rsidR="00CF4D75">
        <w:t xml:space="preserve"> wereldwijd.</w:t>
      </w:r>
      <w:r>
        <w:t xml:space="preserve"> </w:t>
      </w:r>
    </w:p>
    <w:p w14:paraId="4579D988" w14:textId="77777777" w:rsidR="00CF4D75" w:rsidRDefault="00CF4D75" w:rsidP="00FE3DDC">
      <w:pPr>
        <w:autoSpaceDE w:val="0"/>
        <w:autoSpaceDN w:val="0"/>
        <w:adjustRightInd w:val="0"/>
        <w:jc w:val="both"/>
      </w:pPr>
    </w:p>
    <w:p w14:paraId="69DC2828" w14:textId="1A9245D5" w:rsidR="007628D4" w:rsidRDefault="00CF4D75" w:rsidP="00FE3DDC">
      <w:pPr>
        <w:jc w:val="both"/>
      </w:pPr>
      <w:r w:rsidRPr="00CF4D75">
        <w:t xml:space="preserve">De meeste </w:t>
      </w:r>
      <w:r>
        <w:t>aanbieders van cryptoactivadien</w:t>
      </w:r>
      <w:r w:rsidR="00BE2809">
        <w:t>s</w:t>
      </w:r>
      <w:r>
        <w:t xml:space="preserve">ten en </w:t>
      </w:r>
      <w:r w:rsidRPr="00CF4D75">
        <w:t>cryptoactiva vallen</w:t>
      </w:r>
      <w:r w:rsidR="00355945">
        <w:t xml:space="preserve"> </w:t>
      </w:r>
      <w:r w:rsidRPr="00CF4D75">
        <w:t>niet onder bestaande rapportageverplichtingen</w:t>
      </w:r>
      <w:r>
        <w:t>. Hierdoor</w:t>
      </w:r>
      <w:r w:rsidRPr="00CF4D75">
        <w:t xml:space="preserve"> bestaat de kans dat </w:t>
      </w:r>
      <w:r w:rsidR="00355945">
        <w:t>crypto</w:t>
      </w:r>
      <w:r w:rsidRPr="00CF4D75">
        <w:t xml:space="preserve">bezit </w:t>
      </w:r>
      <w:r w:rsidR="00355945">
        <w:t>of cryptotransacties</w:t>
      </w:r>
      <w:r w:rsidRPr="00CF4D75">
        <w:t xml:space="preserve"> niet, onjuist en/of onvolledig word</w:t>
      </w:r>
      <w:r w:rsidR="00355945">
        <w:t>en</w:t>
      </w:r>
      <w:r w:rsidRPr="00CF4D75">
        <w:t xml:space="preserve"> aangegeven.</w:t>
      </w:r>
      <w:r>
        <w:t xml:space="preserve"> O</w:t>
      </w:r>
      <w:r w:rsidRPr="00F45FF4">
        <w:t xml:space="preserve">m ervoor te zorgen dat recente vooruitgang op het gebied van wereldwijde </w:t>
      </w:r>
      <w:r>
        <w:t>b</w:t>
      </w:r>
      <w:r w:rsidRPr="00F45FF4">
        <w:t>elasting</w:t>
      </w:r>
      <w:r>
        <w:softHyphen/>
      </w:r>
      <w:r w:rsidRPr="00F45FF4">
        <w:t>transparantie niet geleidelijk wordt uitgehold</w:t>
      </w:r>
      <w:r>
        <w:t xml:space="preserve"> introduceren </w:t>
      </w:r>
      <w:r w:rsidR="00BF5DEB">
        <w:t>het Crypto Asset Reporting Framework van de OESO (hierna:</w:t>
      </w:r>
      <w:r>
        <w:t xml:space="preserve"> CARF</w:t>
      </w:r>
      <w:r w:rsidR="00BF5DEB">
        <w:t xml:space="preserve">) </w:t>
      </w:r>
      <w:r>
        <w:t xml:space="preserve">en </w:t>
      </w:r>
      <w:r w:rsidR="00BF5DEB">
        <w:t>EU richtlijn 2023/226</w:t>
      </w:r>
      <w:r w:rsidR="00BF5DEB" w:rsidRPr="00355945">
        <w:rPr>
          <w:rStyle w:val="Voetnootmarkering"/>
          <w:vertAlign w:val="superscript"/>
        </w:rPr>
        <w:footnoteReference w:id="3"/>
      </w:r>
      <w:r w:rsidR="00BF5DEB" w:rsidRPr="00355945">
        <w:rPr>
          <w:vertAlign w:val="superscript"/>
        </w:rPr>
        <w:t xml:space="preserve"> </w:t>
      </w:r>
      <w:r w:rsidR="00BF5DEB">
        <w:t xml:space="preserve">(hierna: </w:t>
      </w:r>
      <w:r>
        <w:t>DAC8</w:t>
      </w:r>
      <w:r w:rsidR="00BF5DEB">
        <w:t>)</w:t>
      </w:r>
      <w:r>
        <w:t xml:space="preserve"> </w:t>
      </w:r>
      <w:r w:rsidRPr="00CF4D75">
        <w:t>daarom een rapportageverplichting voor aanbieders van cryptoactiva</w:t>
      </w:r>
      <w:r w:rsidR="00BF5DEB">
        <w:softHyphen/>
      </w:r>
      <w:r w:rsidRPr="00CF4D75">
        <w:t xml:space="preserve">diensten. </w:t>
      </w:r>
    </w:p>
    <w:p w14:paraId="2A1D4F5B" w14:textId="77777777" w:rsidR="00CF4D75" w:rsidRDefault="00CF4D75" w:rsidP="00FE3DDC">
      <w:pPr>
        <w:jc w:val="both"/>
      </w:pPr>
    </w:p>
    <w:p w14:paraId="1CDB21A9" w14:textId="1496C725" w:rsidR="00CF4D75" w:rsidRDefault="00CF4D75" w:rsidP="00FE3DDC">
      <w:pPr>
        <w:jc w:val="both"/>
      </w:pPr>
      <w:r>
        <w:t xml:space="preserve">Rapporterende aanbieders van cryptoactivadiensten (zie hierna) worden met ingang van 1 januari 2026 verplicht </w:t>
      </w:r>
      <w:r w:rsidR="00FE3DDC">
        <w:t xml:space="preserve">tot het uitvoeren van </w:t>
      </w:r>
      <w:proofErr w:type="spellStart"/>
      <w:r w:rsidR="00FE3DDC">
        <w:t>due</w:t>
      </w:r>
      <w:proofErr w:type="spellEnd"/>
      <w:r w:rsidR="00FE3DDC">
        <w:t xml:space="preserve"> diligence van hun gebruikers en om</w:t>
      </w:r>
      <w:r>
        <w:t xml:space="preserve"> jaarlijks identificerende gegevens en crypto</w:t>
      </w:r>
      <w:r w:rsidR="00BF5DEB">
        <w:t>activa</w:t>
      </w:r>
      <w:r>
        <w:t xml:space="preserve"> transactie</w:t>
      </w:r>
      <w:r w:rsidR="00355945">
        <w:t>s</w:t>
      </w:r>
      <w:r>
        <w:t xml:space="preserve"> te rapporteren aan de Belastingdienst. </w:t>
      </w:r>
      <w:r w:rsidR="00A8486F">
        <w:rPr>
          <w:rFonts w:cs="Verdana"/>
          <w:szCs w:val="18"/>
        </w:rPr>
        <w:t>De te rapporteren informatie moet uiterlijk op 31 januari 2027 aan de Belastingdienst worden verstrekt.</w:t>
      </w:r>
    </w:p>
    <w:p w14:paraId="569685E6" w14:textId="77777777" w:rsidR="00BF5DEB" w:rsidRDefault="00BF5DEB" w:rsidP="00B66A66"/>
    <w:p w14:paraId="2D13275A" w14:textId="77777777" w:rsidR="00B66A66" w:rsidRPr="00386E3F" w:rsidRDefault="00B66A66" w:rsidP="00B66A66">
      <w:pPr>
        <w:pStyle w:val="Kop2"/>
      </w:pPr>
      <w:bookmarkStart w:id="8" w:name="_Toc444590521"/>
      <w:bookmarkStart w:id="9" w:name="_Toc449610364"/>
      <w:bookmarkStart w:id="10" w:name="_Toc207732145"/>
      <w:r w:rsidRPr="00386E3F">
        <w:lastRenderedPageBreak/>
        <w:t>Actuele informatie</w:t>
      </w:r>
      <w:bookmarkEnd w:id="8"/>
      <w:bookmarkEnd w:id="9"/>
      <w:bookmarkEnd w:id="10"/>
    </w:p>
    <w:p w14:paraId="52D9685C" w14:textId="77777777" w:rsidR="00B66A66" w:rsidRPr="00386E3F" w:rsidRDefault="00B66A66" w:rsidP="00B66A66"/>
    <w:p w14:paraId="798561E4" w14:textId="4EB6AF73" w:rsidR="00B66A66" w:rsidRPr="00386E3F" w:rsidRDefault="006B2932" w:rsidP="003F7ABB">
      <w:pPr>
        <w:jc w:val="both"/>
      </w:pPr>
      <w:r>
        <w:t>D</w:t>
      </w:r>
      <w:r w:rsidR="00B66A66" w:rsidRPr="00386E3F">
        <w:t xml:space="preserve">e meest actuele informatie </w:t>
      </w:r>
      <w:r>
        <w:t xml:space="preserve">die </w:t>
      </w:r>
      <w:r w:rsidR="00B66A66" w:rsidRPr="00386E3F">
        <w:t>nodig</w:t>
      </w:r>
      <w:r>
        <w:t xml:space="preserve"> is</w:t>
      </w:r>
      <w:r w:rsidR="00B66A66" w:rsidRPr="00386E3F">
        <w:t xml:space="preserve"> om te weten </w:t>
      </w:r>
      <w:r w:rsidR="0013136A">
        <w:t xml:space="preserve">aan welke </w:t>
      </w:r>
      <w:r>
        <w:t>rapportage ver</w:t>
      </w:r>
      <w:r w:rsidR="0013136A">
        <w:t>eis</w:t>
      </w:r>
      <w:r>
        <w:t>t</w:t>
      </w:r>
      <w:r w:rsidR="0013136A">
        <w:t>en</w:t>
      </w:r>
      <w:r w:rsidR="0013136A" w:rsidRPr="00386E3F">
        <w:t xml:space="preserve"> </w:t>
      </w:r>
      <w:r w:rsidR="00B66A66" w:rsidRPr="00386E3F">
        <w:t xml:space="preserve">moet worden voldaan. Deze informatie is te vinden op de website: </w:t>
      </w:r>
      <w:hyperlink r:id="rId11" w:history="1">
        <w:r w:rsidR="00596C18" w:rsidRPr="00386E3F">
          <w:rPr>
            <w:rStyle w:val="Hyperlink"/>
          </w:rPr>
          <w:t>odb.belastingdienst.nl</w:t>
        </w:r>
      </w:hyperlink>
      <w:r w:rsidR="00A17ECF">
        <w:t xml:space="preserve">. </w:t>
      </w:r>
      <w:r w:rsidR="005525D0" w:rsidRPr="00386E3F">
        <w:t xml:space="preserve">Op deze website zijn tevens de </w:t>
      </w:r>
      <w:proofErr w:type="spellStart"/>
      <w:r w:rsidR="005525D0" w:rsidRPr="00386E3F">
        <w:t>XSD’s</w:t>
      </w:r>
      <w:proofErr w:type="spellEnd"/>
      <w:r w:rsidR="005525D0" w:rsidRPr="00386E3F">
        <w:t xml:space="preserve"> voor alle in </w:t>
      </w:r>
      <w:r w:rsidR="009923E4">
        <w:t xml:space="preserve">deel 2 van deze </w:t>
      </w:r>
      <w:r w:rsidR="00427720">
        <w:t>h</w:t>
      </w:r>
      <w:r w:rsidR="005525D0" w:rsidRPr="00386E3F">
        <w:t>andleiding beschreven XML</w:t>
      </w:r>
      <w:r w:rsidR="00A17ECF">
        <w:t>-berichten opgenomen</w:t>
      </w:r>
      <w:r w:rsidR="005525D0" w:rsidRPr="00386E3F">
        <w:t xml:space="preserve">. </w:t>
      </w:r>
    </w:p>
    <w:p w14:paraId="0D096B2E" w14:textId="77777777" w:rsidR="00C84CD5" w:rsidRDefault="00C84CD5" w:rsidP="00B66A66"/>
    <w:p w14:paraId="3D618739" w14:textId="77777777" w:rsidR="00B66A66" w:rsidRPr="00386E3F" w:rsidRDefault="00B66A66" w:rsidP="00B66A66">
      <w:r w:rsidRPr="00386E3F">
        <w:t>Andere locaties waar de nodige informatie te vinden is, zijn:</w:t>
      </w:r>
    </w:p>
    <w:p w14:paraId="7F4B1B9C" w14:textId="77777777" w:rsidR="0013136A" w:rsidRPr="0013136A" w:rsidRDefault="0013136A" w:rsidP="0013136A">
      <w:pPr>
        <w:pStyle w:val="Lijstalinea"/>
        <w:numPr>
          <w:ilvl w:val="0"/>
          <w:numId w:val="24"/>
        </w:numPr>
        <w:rPr>
          <w:u w:val="single"/>
        </w:rPr>
      </w:pPr>
      <w:r w:rsidRPr="0013136A">
        <w:rPr>
          <w:u w:val="single"/>
        </w:rPr>
        <w:t>http://www.logius.nl</w:t>
      </w:r>
    </w:p>
    <w:p w14:paraId="0E7F1B9D" w14:textId="63D2B710" w:rsidR="0013136A" w:rsidRDefault="00B66A66" w:rsidP="0013136A">
      <w:pPr>
        <w:pStyle w:val="Lijstalinea"/>
        <w:ind w:left="360"/>
        <w:jc w:val="both"/>
      </w:pPr>
      <w:proofErr w:type="spellStart"/>
      <w:r w:rsidRPr="00386E3F">
        <w:t>Logius</w:t>
      </w:r>
      <w:proofErr w:type="spellEnd"/>
      <w:r w:rsidRPr="00386E3F">
        <w:t>, de dienst digitale overheid van het Ministerie van Binnenlandse Zaken en Koninkrijksrelaties, verzorgt het Elektronisch berichtenverkeer (EBV) voor de Belastingdienst via de voorziening ‘</w:t>
      </w:r>
      <w:proofErr w:type="spellStart"/>
      <w:r w:rsidRPr="00386E3F">
        <w:t>Digipoort</w:t>
      </w:r>
      <w:proofErr w:type="spellEnd"/>
      <w:r w:rsidRPr="00386E3F">
        <w:t>’</w:t>
      </w:r>
      <w:r w:rsidR="00C002D2" w:rsidRPr="00386E3F">
        <w:t>;</w:t>
      </w:r>
    </w:p>
    <w:p w14:paraId="61D3A0BE" w14:textId="6EC9B8AB" w:rsidR="00746EE4" w:rsidRPr="00386E3F" w:rsidRDefault="00746EE4" w:rsidP="00746EE4">
      <w:pPr>
        <w:pStyle w:val="Lijstalinea"/>
        <w:numPr>
          <w:ilvl w:val="0"/>
          <w:numId w:val="24"/>
        </w:numPr>
        <w:jc w:val="both"/>
      </w:pPr>
      <w:r w:rsidRPr="00386E3F">
        <w:t xml:space="preserve">Meer over </w:t>
      </w:r>
      <w:proofErr w:type="spellStart"/>
      <w:r w:rsidRPr="00386E3F">
        <w:t>Logius</w:t>
      </w:r>
      <w:proofErr w:type="spellEnd"/>
      <w:r w:rsidRPr="00386E3F">
        <w:t xml:space="preserve"> en de </w:t>
      </w:r>
      <w:r>
        <w:t xml:space="preserve">Ondersteuning </w:t>
      </w:r>
      <w:r w:rsidRPr="00386E3F">
        <w:t xml:space="preserve">Software Ontwikkeling is te lezen in deel 2 van deze handleiding. Deel 2 is te raadplegen via </w:t>
      </w:r>
      <w:hyperlink r:id="rId12" w:history="1">
        <w:r w:rsidRPr="00386E3F">
          <w:rPr>
            <w:rStyle w:val="Hyperlink"/>
          </w:rPr>
          <w:t>https://odb.belastingdienst.nl/</w:t>
        </w:r>
      </w:hyperlink>
      <w:r w:rsidRPr="0013136A">
        <w:rPr>
          <w:rStyle w:val="Hyperlink"/>
          <w:u w:val="none"/>
        </w:rPr>
        <w:t>.</w:t>
      </w:r>
    </w:p>
    <w:p w14:paraId="7C3A7A7E" w14:textId="14547139" w:rsidR="00B66A66" w:rsidRPr="00386E3F" w:rsidRDefault="00197C4B" w:rsidP="00050312">
      <w:pPr>
        <w:pStyle w:val="Lijstalinea"/>
        <w:numPr>
          <w:ilvl w:val="0"/>
          <w:numId w:val="24"/>
        </w:numPr>
        <w:jc w:val="both"/>
      </w:pPr>
      <w:r>
        <w:t xml:space="preserve">Voor exploitanten van cryptoactiva geldt een registratieplicht. Het hiervoor te gebruiken formulier wordt gepubliceerd op </w:t>
      </w:r>
      <w:r w:rsidR="00B555F4">
        <w:t>https://</w:t>
      </w:r>
      <w:r w:rsidR="00746EE4">
        <w:t>belastingdienst.nl</w:t>
      </w:r>
      <w:r w:rsidR="00B555F4">
        <w:t>/dac8</w:t>
      </w:r>
      <w:r w:rsidR="00746EE4">
        <w:t>.</w:t>
      </w:r>
      <w:r>
        <w:t xml:space="preserve"> Na beoordeling door de </w:t>
      </w:r>
      <w:r w:rsidR="00A07631">
        <w:t>B</w:t>
      </w:r>
      <w:r>
        <w:t xml:space="preserve">elastingdienst ontvangen exploitanten van cryptoactiva een uniek registratienummer. </w:t>
      </w:r>
    </w:p>
    <w:p w14:paraId="7ED18B51" w14:textId="77777777" w:rsidR="00B555F4" w:rsidRDefault="00B555F4" w:rsidP="003F7ABB">
      <w:pPr>
        <w:jc w:val="both"/>
      </w:pPr>
      <w:bookmarkStart w:id="11" w:name="_Toc333225157"/>
      <w:bookmarkStart w:id="12" w:name="_Toc444590522"/>
      <w:bookmarkStart w:id="13" w:name="_Toc333225160"/>
      <w:bookmarkStart w:id="14" w:name="_Ref357596945"/>
      <w:bookmarkStart w:id="15" w:name="_Toc444590540"/>
    </w:p>
    <w:p w14:paraId="6A7A2CEE" w14:textId="4818E9E3" w:rsidR="00837D45" w:rsidRPr="00386E3F" w:rsidRDefault="001024E5" w:rsidP="003F7ABB">
      <w:pPr>
        <w:jc w:val="both"/>
        <w:rPr>
          <w:kern w:val="32"/>
          <w:sz w:val="24"/>
        </w:rPr>
      </w:pPr>
      <w:r w:rsidRPr="00BA0E49">
        <w:t xml:space="preserve">Partijen </w:t>
      </w:r>
      <w:r w:rsidR="007F2B66">
        <w:t xml:space="preserve">zijn zelf verantwoordelijk om te voldoen aan de rapportage en </w:t>
      </w:r>
      <w:proofErr w:type="spellStart"/>
      <w:r w:rsidR="007F2B66">
        <w:t>due</w:t>
      </w:r>
      <w:proofErr w:type="spellEnd"/>
      <w:r w:rsidR="007F2B66">
        <w:t xml:space="preserve"> diligence verplichtingen</w:t>
      </w:r>
      <w:r w:rsidR="006062E9">
        <w:t xml:space="preserve"> die voorvloeien uit de Wet</w:t>
      </w:r>
      <w:r w:rsidR="007F2B66">
        <w:t xml:space="preserve">. Partijen </w:t>
      </w:r>
      <w:r w:rsidRPr="00BA0E49">
        <w:t xml:space="preserve">worden </w:t>
      </w:r>
      <w:r w:rsidR="007F293C">
        <w:t xml:space="preserve">in principe </w:t>
      </w:r>
      <w:r w:rsidRPr="00BA0E49">
        <w:t xml:space="preserve">niet individueel uitgenodigd om te rapporteren aan de Belastingdienst. </w:t>
      </w:r>
      <w:r w:rsidR="007F2B66">
        <w:t xml:space="preserve">Wel </w:t>
      </w:r>
      <w:r w:rsidR="006062E9">
        <w:t>zal de Belastingdienst door</w:t>
      </w:r>
      <w:r w:rsidRPr="00BA0E49">
        <w:t xml:space="preserve"> </w:t>
      </w:r>
      <w:r w:rsidR="007F293C">
        <w:t>informatie op de website</w:t>
      </w:r>
      <w:r w:rsidR="006062E9">
        <w:t xml:space="preserve"> en </w:t>
      </w:r>
      <w:r w:rsidR="007F293C">
        <w:t xml:space="preserve">algemene communicatie </w:t>
      </w:r>
      <w:r w:rsidR="006062E9" w:rsidRPr="00BA0E49">
        <w:t xml:space="preserve">kenbaar </w:t>
      </w:r>
      <w:r w:rsidR="006B2932">
        <w:t>maken</w:t>
      </w:r>
      <w:r w:rsidR="006B2932" w:rsidRPr="00BA0E49">
        <w:t xml:space="preserve"> </w:t>
      </w:r>
      <w:r w:rsidR="006062E9">
        <w:t xml:space="preserve">dat er een rapportageplicht bestaat. Ook de publicatie </w:t>
      </w:r>
      <w:r w:rsidRPr="00BA0E49">
        <w:t xml:space="preserve">deze </w:t>
      </w:r>
      <w:r w:rsidR="00427720">
        <w:t>h</w:t>
      </w:r>
      <w:r w:rsidRPr="00BA0E49">
        <w:t>andleiding</w:t>
      </w:r>
      <w:r w:rsidR="00427720">
        <w:t>,</w:t>
      </w:r>
      <w:r w:rsidRPr="00BA0E49">
        <w:t xml:space="preserve"> </w:t>
      </w:r>
      <w:r w:rsidR="006062E9">
        <w:t xml:space="preserve">waarin </w:t>
      </w:r>
      <w:r w:rsidRPr="00BA0E49">
        <w:t xml:space="preserve">kenbaar gemaakt </w:t>
      </w:r>
      <w:r w:rsidR="006062E9">
        <w:t xml:space="preserve">wordt </w:t>
      </w:r>
      <w:r w:rsidRPr="00BA0E49">
        <w:t>aan welke specificaties de aan te leveren berichten moeten voldoen en welk kanaal voor rapporteren gebruikt moet worden</w:t>
      </w:r>
      <w:r w:rsidR="006062E9">
        <w:t xml:space="preserve"> draagt er aan bij dat</w:t>
      </w:r>
      <w:r w:rsidR="002F7756">
        <w:t xml:space="preserve"> partijen</w:t>
      </w:r>
      <w:r w:rsidR="006062E9">
        <w:t xml:space="preserve"> met een rapportageverplichting</w:t>
      </w:r>
      <w:r w:rsidR="002F7756">
        <w:t xml:space="preserve"> geïnformeerd w</w:t>
      </w:r>
      <w:r w:rsidR="0075529D">
        <w:t>o</w:t>
      </w:r>
      <w:r w:rsidR="002F7756">
        <w:t xml:space="preserve">rden.  </w:t>
      </w:r>
      <w:r w:rsidR="00837D45" w:rsidRPr="00386E3F">
        <w:br w:type="page"/>
      </w:r>
    </w:p>
    <w:p w14:paraId="6C1A9BB9" w14:textId="77777777" w:rsidR="00837D45" w:rsidRPr="00386E3F" w:rsidRDefault="00837D45" w:rsidP="00837D45">
      <w:pPr>
        <w:pStyle w:val="Kop1"/>
      </w:pPr>
      <w:bookmarkStart w:id="16" w:name="_Toc449610365"/>
      <w:bookmarkStart w:id="17" w:name="_Toc207732146"/>
      <w:r w:rsidRPr="00386E3F">
        <w:lastRenderedPageBreak/>
        <w:t>Fiscaal-juridisch</w:t>
      </w:r>
      <w:bookmarkEnd w:id="11"/>
      <w:bookmarkEnd w:id="12"/>
      <w:bookmarkEnd w:id="16"/>
      <w:bookmarkEnd w:id="17"/>
    </w:p>
    <w:p w14:paraId="53D4EC4F" w14:textId="77777777" w:rsidR="00837D45" w:rsidRPr="00386E3F" w:rsidRDefault="00837D45" w:rsidP="00837D45">
      <w:pPr>
        <w:pStyle w:val="Kop2"/>
      </w:pPr>
      <w:bookmarkStart w:id="18" w:name="_Toc333225158"/>
      <w:bookmarkStart w:id="19" w:name="_Ref334112615"/>
      <w:bookmarkStart w:id="20" w:name="_Ref357597249"/>
      <w:bookmarkStart w:id="21" w:name="_Toc444590523"/>
      <w:bookmarkStart w:id="22" w:name="_Toc449610366"/>
      <w:bookmarkStart w:id="23" w:name="_Toc207732147"/>
      <w:r w:rsidRPr="00386E3F">
        <w:t>Wettelijke basis</w:t>
      </w:r>
      <w:bookmarkEnd w:id="18"/>
      <w:bookmarkEnd w:id="19"/>
      <w:bookmarkEnd w:id="20"/>
      <w:bookmarkEnd w:id="21"/>
      <w:bookmarkEnd w:id="22"/>
      <w:bookmarkEnd w:id="23"/>
    </w:p>
    <w:p w14:paraId="34938092" w14:textId="4627A705" w:rsidR="0072388C" w:rsidRPr="0072388C" w:rsidRDefault="0072388C" w:rsidP="0072388C">
      <w:pPr>
        <w:autoSpaceDE w:val="0"/>
        <w:autoSpaceDN w:val="0"/>
        <w:adjustRightInd w:val="0"/>
        <w:jc w:val="both"/>
      </w:pPr>
      <w:bookmarkStart w:id="24" w:name="_Toc333225159"/>
      <w:bookmarkStart w:id="25" w:name="_Ref334112815"/>
      <w:bookmarkStart w:id="26" w:name="_Ref339976213"/>
      <w:r>
        <w:br/>
      </w:r>
      <w:r w:rsidRPr="0072388C">
        <w:t>De wettelijke basis voor de automatische uitwisseling van inlichtingen is vastgelegd in Richtlijn (EU) 2023/226, die op 17 oktober 2023 is aangenomen door de Europese Raad. Deze richtlijn wijzigt Richtlijn 2011/16/EU inzake administratieve samenwerking op het gebied van belastingen. De implementatie van Richtlijn (EU) 2023/226 in de Nederlandse wetgeving heeft plaatsgevonden via de Wet implementatie EU-richtlijn gegevensuitwisseling cryptoactiva.</w:t>
      </w:r>
    </w:p>
    <w:p w14:paraId="76714411" w14:textId="52D0EFFC" w:rsidR="0072388C" w:rsidRDefault="0072388C" w:rsidP="0072388C">
      <w:pPr>
        <w:autoSpaceDE w:val="0"/>
        <w:autoSpaceDN w:val="0"/>
        <w:adjustRightInd w:val="0"/>
        <w:jc w:val="both"/>
        <w:rPr>
          <w:rFonts w:ascii="Verdana-Bold" w:hAnsi="Verdana-Bold" w:cs="Verdana-Bold"/>
          <w:b/>
          <w:bCs/>
          <w:szCs w:val="18"/>
        </w:rPr>
      </w:pPr>
      <w:r>
        <w:rPr>
          <w:rFonts w:cs="Verdana"/>
          <w:szCs w:val="18"/>
        </w:rPr>
        <w:br/>
        <w:t>De meest relevante wetteksten uit de Wet op de internationale bijstandsverlening bij de heffing van belastingen (WIB) en de Algemene wet inzake rijksbelastingen (</w:t>
      </w:r>
      <w:proofErr w:type="spellStart"/>
      <w:r>
        <w:rPr>
          <w:rFonts w:cs="Verdana"/>
          <w:szCs w:val="18"/>
        </w:rPr>
        <w:t>Awr</w:t>
      </w:r>
      <w:proofErr w:type="spellEnd"/>
      <w:r>
        <w:rPr>
          <w:rFonts w:cs="Verdana"/>
          <w:szCs w:val="18"/>
        </w:rPr>
        <w:t xml:space="preserve">) zijn in bijlage 1 opgenomen. </w:t>
      </w:r>
    </w:p>
    <w:p w14:paraId="0AA771A3" w14:textId="77777777" w:rsidR="00A8486F" w:rsidRDefault="00A8486F" w:rsidP="00A8486F">
      <w:pPr>
        <w:autoSpaceDE w:val="0"/>
        <w:autoSpaceDN w:val="0"/>
        <w:adjustRightInd w:val="0"/>
        <w:jc w:val="both"/>
      </w:pPr>
    </w:p>
    <w:p w14:paraId="54BF229A" w14:textId="77777777" w:rsidR="00A8486F" w:rsidRDefault="00A8486F" w:rsidP="00A8486F">
      <w:pPr>
        <w:autoSpaceDE w:val="0"/>
        <w:autoSpaceDN w:val="0"/>
        <w:adjustRightInd w:val="0"/>
        <w:jc w:val="both"/>
      </w:pPr>
      <w:r>
        <w:t>De gegevensuitwisseling met niet EU-landen op grond van het Crypto Asset Reporting Framework van de OESO (hierna ook: CARF) vereist een onderliggend uitwisselingsverdrag met de landen waarmee Nederland gegevens wil uitwisselen. Periodiek publiceert de OESO een lijst met landen die een dergelijke uitwisselingsrelatie hebben.</w:t>
      </w:r>
    </w:p>
    <w:p w14:paraId="439F441D" w14:textId="77777777" w:rsidR="00A8486F" w:rsidRDefault="00A8486F" w:rsidP="00A8486F">
      <w:pPr>
        <w:autoSpaceDE w:val="0"/>
        <w:autoSpaceDN w:val="0"/>
        <w:adjustRightInd w:val="0"/>
        <w:jc w:val="both"/>
      </w:pPr>
    </w:p>
    <w:p w14:paraId="077AE894" w14:textId="6D36C048" w:rsidR="00837D45" w:rsidRPr="00386E3F" w:rsidRDefault="00837D45" w:rsidP="00C11E77">
      <w:pPr>
        <w:pStyle w:val="Kop2"/>
      </w:pPr>
      <w:bookmarkStart w:id="27" w:name="_Toc449610367"/>
      <w:bookmarkStart w:id="28" w:name="_Toc207732148"/>
      <w:bookmarkStart w:id="29" w:name="_Ref361298881"/>
      <w:bookmarkStart w:id="30" w:name="_Toc444590524"/>
      <w:r w:rsidRPr="00386E3F">
        <w:t xml:space="preserve">Voor welke </w:t>
      </w:r>
      <w:r w:rsidR="002F7756">
        <w:t xml:space="preserve">aanbieders van cryptoactivadiensten </w:t>
      </w:r>
      <w:bookmarkEnd w:id="27"/>
      <w:r w:rsidR="00C9454E">
        <w:t>is deze handleiding bedoeld</w:t>
      </w:r>
      <w:r w:rsidR="003173BC">
        <w:t>?</w:t>
      </w:r>
      <w:bookmarkEnd w:id="28"/>
    </w:p>
    <w:bookmarkEnd w:id="24"/>
    <w:bookmarkEnd w:id="25"/>
    <w:bookmarkEnd w:id="26"/>
    <w:bookmarkEnd w:id="29"/>
    <w:bookmarkEnd w:id="30"/>
    <w:p w14:paraId="11392DF7" w14:textId="77777777" w:rsidR="00837D45" w:rsidRPr="00386E3F" w:rsidRDefault="00837D45" w:rsidP="00837D45"/>
    <w:p w14:paraId="06899140" w14:textId="7DDEE2C3" w:rsidR="00161744" w:rsidRDefault="00837D45" w:rsidP="00C9454E">
      <w:pPr>
        <w:autoSpaceDE w:val="0"/>
        <w:autoSpaceDN w:val="0"/>
        <w:adjustRightInd w:val="0"/>
        <w:jc w:val="both"/>
      </w:pPr>
      <w:r w:rsidRPr="00386E3F">
        <w:t xml:space="preserve">Deze </w:t>
      </w:r>
      <w:r w:rsidR="00C64BEE">
        <w:t>h</w:t>
      </w:r>
      <w:r w:rsidRPr="00386E3F">
        <w:t>andleiding is</w:t>
      </w:r>
      <w:r w:rsidR="0072388C">
        <w:t xml:space="preserve"> </w:t>
      </w:r>
      <w:r w:rsidRPr="00386E3F">
        <w:t xml:space="preserve">bedoeld voor </w:t>
      </w:r>
      <w:r w:rsidR="003C3F57">
        <w:t>Nederlan</w:t>
      </w:r>
      <w:r w:rsidR="00C64BEE">
        <w:t>d</w:t>
      </w:r>
      <w:r w:rsidR="003C3F57">
        <w:t>se aanbieders van cryptoactivadiensten</w:t>
      </w:r>
      <w:r w:rsidR="00672722">
        <w:t xml:space="preserve"> en de exploitanten van cryptoactiva</w:t>
      </w:r>
      <w:r w:rsidR="00161744">
        <w:t>.</w:t>
      </w:r>
      <w:r w:rsidR="00C11E77">
        <w:t xml:space="preserve"> Tezamen aangeduid </w:t>
      </w:r>
      <w:r w:rsidR="00C9454E">
        <w:t>met de overkoepelende term:</w:t>
      </w:r>
      <w:r w:rsidR="00C11E77">
        <w:t xml:space="preserve"> rapporterende aanbieders van cryptoactivadiensten</w:t>
      </w:r>
      <w:r w:rsidR="00672722">
        <w:t xml:space="preserve">. Ook </w:t>
      </w:r>
      <w:r w:rsidR="00161744">
        <w:t xml:space="preserve">voor </w:t>
      </w:r>
      <w:r w:rsidR="00672722">
        <w:t xml:space="preserve">in het buitenland </w:t>
      </w:r>
      <w:r w:rsidR="00161744">
        <w:t xml:space="preserve">gevestigde </w:t>
      </w:r>
      <w:r w:rsidR="00672722">
        <w:t xml:space="preserve">aanbieders van cryptoactivadiensten, </w:t>
      </w:r>
      <w:r w:rsidR="00161744">
        <w:t xml:space="preserve">die </w:t>
      </w:r>
      <w:r w:rsidR="00672722">
        <w:t>namen</w:t>
      </w:r>
      <w:r w:rsidR="002F7756">
        <w:t>s</w:t>
      </w:r>
      <w:r w:rsidR="00672722">
        <w:t xml:space="preserve"> hun gebruikers transacties via een bijkantoor</w:t>
      </w:r>
      <w:r w:rsidR="00C9454E">
        <w:t xml:space="preserve"> als bedoeld in artikel 2f WIB,</w:t>
      </w:r>
      <w:r w:rsidR="00672722">
        <w:t xml:space="preserve"> in Nederland laten uitvoeren</w:t>
      </w:r>
      <w:r w:rsidR="00161744">
        <w:t xml:space="preserve"> is deze handleiding van belang. </w:t>
      </w:r>
    </w:p>
    <w:p w14:paraId="50E8F2FF" w14:textId="77777777" w:rsidR="00A8486F" w:rsidRPr="006A4057" w:rsidRDefault="00A8486F" w:rsidP="00A8486F">
      <w:pPr>
        <w:pStyle w:val="Kop3"/>
        <w:jc w:val="both"/>
      </w:pPr>
      <w:bookmarkStart w:id="31" w:name="_Toc207732149"/>
      <w:r>
        <w:t>R</w:t>
      </w:r>
      <w:r w:rsidRPr="006A4057">
        <w:t>apporterende cryptodienstverleners</w:t>
      </w:r>
      <w:bookmarkEnd w:id="31"/>
    </w:p>
    <w:p w14:paraId="13BEF6CF" w14:textId="77777777" w:rsidR="00A8486F" w:rsidRDefault="00A8486F" w:rsidP="00A8486F">
      <w:pPr>
        <w:autoSpaceDE w:val="0"/>
        <w:autoSpaceDN w:val="0"/>
        <w:adjustRightInd w:val="0"/>
        <w:jc w:val="both"/>
        <w:rPr>
          <w:rFonts w:cs="Verdana"/>
          <w:szCs w:val="18"/>
        </w:rPr>
      </w:pPr>
      <w:r>
        <w:rPr>
          <w:rFonts w:cs="Verdana"/>
          <w:szCs w:val="18"/>
        </w:rPr>
        <w:t>Het CARF en DAC8 zijn materieel hetzelfde. Wel is er een verschil in de gehanteerde definitie van cryptodienstverleners. Dit is een gevolg van de keuze van de EU om DAC8 zoveel mogelijk aan te laten sluiten op de EU Markets in Cryptoassets (‘’</w:t>
      </w:r>
      <w:proofErr w:type="spellStart"/>
      <w:r>
        <w:rPr>
          <w:rFonts w:cs="Verdana"/>
          <w:szCs w:val="18"/>
        </w:rPr>
        <w:t>MiCA</w:t>
      </w:r>
      <w:proofErr w:type="spellEnd"/>
      <w:r>
        <w:rPr>
          <w:rFonts w:cs="Verdana"/>
          <w:szCs w:val="18"/>
        </w:rPr>
        <w:t>’’) verordening. In deze paragraaf wordt dit kort toegelicht.</w:t>
      </w:r>
    </w:p>
    <w:p w14:paraId="200F1255" w14:textId="77777777" w:rsidR="00A8486F" w:rsidRDefault="00A8486F" w:rsidP="00A8486F">
      <w:pPr>
        <w:autoSpaceDE w:val="0"/>
        <w:autoSpaceDN w:val="0"/>
        <w:adjustRightInd w:val="0"/>
        <w:rPr>
          <w:rFonts w:cs="Verdana"/>
          <w:szCs w:val="18"/>
        </w:rPr>
      </w:pPr>
    </w:p>
    <w:p w14:paraId="7D3F0404" w14:textId="77777777" w:rsidR="00A8486F" w:rsidRPr="00125767" w:rsidRDefault="00A8486F" w:rsidP="00A8486F">
      <w:pPr>
        <w:autoSpaceDE w:val="0"/>
        <w:autoSpaceDN w:val="0"/>
        <w:adjustRightInd w:val="0"/>
        <w:jc w:val="both"/>
        <w:rPr>
          <w:rFonts w:cs="Verdana"/>
          <w:b/>
          <w:bCs/>
          <w:szCs w:val="18"/>
          <w:u w:val="single"/>
        </w:rPr>
      </w:pPr>
      <w:r w:rsidRPr="00125767">
        <w:rPr>
          <w:rFonts w:cs="Verdana"/>
          <w:b/>
          <w:bCs/>
          <w:szCs w:val="18"/>
          <w:u w:val="single"/>
        </w:rPr>
        <w:t>Rapporterende cryptodienstverleners onder CARF.</w:t>
      </w:r>
    </w:p>
    <w:p w14:paraId="758A160B" w14:textId="0384B143" w:rsidR="00A8486F" w:rsidRDefault="00A8486F" w:rsidP="00A8486F">
      <w:pPr>
        <w:autoSpaceDE w:val="0"/>
        <w:autoSpaceDN w:val="0"/>
        <w:adjustRightInd w:val="0"/>
        <w:jc w:val="both"/>
        <w:rPr>
          <w:rFonts w:cs="Verdana"/>
          <w:szCs w:val="18"/>
        </w:rPr>
      </w:pPr>
      <w:r>
        <w:rPr>
          <w:rFonts w:cs="Verdana"/>
          <w:szCs w:val="18"/>
        </w:rPr>
        <w:t>Het CARF hanteert onderstaande definitie om te bepalen welke partijen onder het CARF een rapportageverplichting hebben:</w:t>
      </w:r>
    </w:p>
    <w:p w14:paraId="4D7CA94B" w14:textId="77777777" w:rsidR="00A8486F" w:rsidRDefault="00A8486F" w:rsidP="00A8486F">
      <w:pPr>
        <w:autoSpaceDE w:val="0"/>
        <w:autoSpaceDN w:val="0"/>
        <w:adjustRightInd w:val="0"/>
        <w:jc w:val="both"/>
        <w:rPr>
          <w:rFonts w:cs="Verdana"/>
          <w:szCs w:val="18"/>
        </w:rPr>
      </w:pPr>
    </w:p>
    <w:p w14:paraId="4277817B" w14:textId="77777777" w:rsidR="00A8486F" w:rsidRPr="006851AA" w:rsidRDefault="00A8486F" w:rsidP="00A8486F">
      <w:pPr>
        <w:autoSpaceDE w:val="0"/>
        <w:autoSpaceDN w:val="0"/>
        <w:adjustRightInd w:val="0"/>
        <w:jc w:val="both"/>
        <w:rPr>
          <w:rFonts w:cs="Verdana"/>
          <w:i/>
          <w:iCs/>
          <w:szCs w:val="18"/>
          <w:lang w:val="en-US"/>
        </w:rPr>
      </w:pPr>
      <w:r w:rsidRPr="006851AA">
        <w:rPr>
          <w:rFonts w:cs="Verdana"/>
          <w:i/>
          <w:iCs/>
          <w:szCs w:val="18"/>
          <w:lang w:val="en-US"/>
        </w:rPr>
        <w:t>“The term “Reporting Crypto-Asset Service Provider” refers to any individual or Entity that, as a business, provides a service effectuating Exchange Transactions for or on behalf of customers (which for the purposes of this definition includes users of services of Reporting Crypto-Asset Service Providers), including by acting as a counterparty, or as an intermediary, to Exchange Transactions, or by making available a trading platform. The phrase “as a business” excludes individuals or Entities who carry out a service on a very infrequent basis for non-commercial reasons. In determining what is meant by “as a business”, reference can be made to each jurisdiction’s relevant rules”.</w:t>
      </w:r>
    </w:p>
    <w:p w14:paraId="7DAF2059" w14:textId="77777777" w:rsidR="00A8486F" w:rsidRPr="006A2954" w:rsidRDefault="00A8486F" w:rsidP="00A8486F">
      <w:pPr>
        <w:autoSpaceDE w:val="0"/>
        <w:autoSpaceDN w:val="0"/>
        <w:adjustRightInd w:val="0"/>
        <w:jc w:val="both"/>
        <w:rPr>
          <w:rFonts w:cs="Verdana"/>
          <w:szCs w:val="18"/>
          <w:lang w:val="en-US"/>
        </w:rPr>
      </w:pPr>
    </w:p>
    <w:p w14:paraId="42790046" w14:textId="77777777" w:rsidR="00A8486F" w:rsidRPr="00125767" w:rsidRDefault="00A8486F" w:rsidP="00A8486F">
      <w:pPr>
        <w:autoSpaceDE w:val="0"/>
        <w:autoSpaceDN w:val="0"/>
        <w:adjustRightInd w:val="0"/>
        <w:jc w:val="both"/>
        <w:rPr>
          <w:rFonts w:cs="Verdana"/>
          <w:b/>
          <w:bCs/>
          <w:szCs w:val="18"/>
          <w:u w:val="single"/>
        </w:rPr>
      </w:pPr>
      <w:r w:rsidRPr="00125767">
        <w:rPr>
          <w:rFonts w:cs="Verdana"/>
          <w:b/>
          <w:bCs/>
          <w:szCs w:val="18"/>
          <w:u w:val="single"/>
        </w:rPr>
        <w:t>Rapporterende cryptodienstverleners onder DAC8</w:t>
      </w:r>
    </w:p>
    <w:p w14:paraId="04D9ABB8" w14:textId="225A338F" w:rsidR="00FF6271" w:rsidRDefault="00FF6271" w:rsidP="00A8486F">
      <w:pPr>
        <w:autoSpaceDE w:val="0"/>
        <w:autoSpaceDN w:val="0"/>
        <w:adjustRightInd w:val="0"/>
        <w:jc w:val="both"/>
        <w:rPr>
          <w:rFonts w:cs="Verdana"/>
          <w:szCs w:val="18"/>
        </w:rPr>
      </w:pPr>
      <w:r>
        <w:rPr>
          <w:rFonts w:cs="Verdana"/>
          <w:szCs w:val="18"/>
        </w:rPr>
        <w:t>D</w:t>
      </w:r>
      <w:r w:rsidR="00A8486F">
        <w:rPr>
          <w:rFonts w:cs="Verdana"/>
          <w:szCs w:val="18"/>
        </w:rPr>
        <w:t xml:space="preserve">e EU </w:t>
      </w:r>
      <w:r>
        <w:rPr>
          <w:rFonts w:cs="Verdana"/>
          <w:szCs w:val="18"/>
        </w:rPr>
        <w:t xml:space="preserve">heeft </w:t>
      </w:r>
      <w:r w:rsidR="00A8486F">
        <w:rPr>
          <w:rFonts w:cs="Verdana"/>
          <w:szCs w:val="18"/>
        </w:rPr>
        <w:t xml:space="preserve">ervoor gekozen om in DAC8 zoveel mogelijk aansluiting te zoeken bij de gebruikte definities uit de </w:t>
      </w:r>
      <w:proofErr w:type="spellStart"/>
      <w:r w:rsidR="00A8486F">
        <w:rPr>
          <w:rFonts w:cs="Verdana"/>
          <w:szCs w:val="18"/>
        </w:rPr>
        <w:t>MiCA</w:t>
      </w:r>
      <w:proofErr w:type="spellEnd"/>
      <w:r w:rsidR="00A8486F">
        <w:rPr>
          <w:rFonts w:cs="Verdana"/>
          <w:szCs w:val="18"/>
        </w:rPr>
        <w:t>-verordening. Dit heeft tot gevolg dat DAC8, in afwijking van het CARF, twee soorten rapporterende cryptodienstverleners kent:</w:t>
      </w:r>
    </w:p>
    <w:p w14:paraId="5FF88C08" w14:textId="323C09B7" w:rsidR="00FF6271" w:rsidRDefault="00A8486F" w:rsidP="00A8486F">
      <w:pPr>
        <w:autoSpaceDE w:val="0"/>
        <w:autoSpaceDN w:val="0"/>
        <w:adjustRightInd w:val="0"/>
        <w:jc w:val="both"/>
        <w:rPr>
          <w:rFonts w:cs="Verdana"/>
          <w:szCs w:val="18"/>
        </w:rPr>
      </w:pPr>
      <w:r>
        <w:rPr>
          <w:rFonts w:cs="Verdana"/>
          <w:szCs w:val="18"/>
        </w:rPr>
        <w:lastRenderedPageBreak/>
        <w:t xml:space="preserve">1) cryptodienstverleners die beschikken over een </w:t>
      </w:r>
      <w:proofErr w:type="spellStart"/>
      <w:r>
        <w:rPr>
          <w:rFonts w:cs="Verdana"/>
          <w:szCs w:val="18"/>
        </w:rPr>
        <w:t>MiCA</w:t>
      </w:r>
      <w:proofErr w:type="spellEnd"/>
      <w:r>
        <w:rPr>
          <w:rFonts w:cs="Verdana"/>
          <w:szCs w:val="18"/>
        </w:rPr>
        <w:t>-vergunning</w:t>
      </w:r>
      <w:r w:rsidRPr="00A93476">
        <w:rPr>
          <w:rStyle w:val="Voetnootmarkering"/>
          <w:rFonts w:cs="Verdana"/>
          <w:szCs w:val="18"/>
          <w:vertAlign w:val="superscript"/>
        </w:rPr>
        <w:footnoteReference w:id="4"/>
      </w:r>
      <w:r>
        <w:rPr>
          <w:rFonts w:cs="Verdana"/>
          <w:szCs w:val="18"/>
        </w:rPr>
        <w:t xml:space="preserve"> en</w:t>
      </w:r>
    </w:p>
    <w:p w14:paraId="22AE471C" w14:textId="4B90A2FD" w:rsidR="00FF6271" w:rsidRDefault="00A8486F" w:rsidP="00A8486F">
      <w:pPr>
        <w:autoSpaceDE w:val="0"/>
        <w:autoSpaceDN w:val="0"/>
        <w:adjustRightInd w:val="0"/>
        <w:jc w:val="both"/>
        <w:rPr>
          <w:rFonts w:cs="Verdana"/>
          <w:szCs w:val="18"/>
        </w:rPr>
      </w:pPr>
      <w:r>
        <w:rPr>
          <w:rFonts w:cs="Verdana"/>
          <w:szCs w:val="18"/>
        </w:rPr>
        <w:t>2) andere cryptodienstverleners zonder een dergelijke vergunning.</w:t>
      </w:r>
    </w:p>
    <w:p w14:paraId="5F986069" w14:textId="77777777" w:rsidR="00FF6271" w:rsidRDefault="00FF6271" w:rsidP="00A8486F">
      <w:pPr>
        <w:autoSpaceDE w:val="0"/>
        <w:autoSpaceDN w:val="0"/>
        <w:adjustRightInd w:val="0"/>
        <w:jc w:val="both"/>
        <w:rPr>
          <w:rFonts w:cs="Verdana"/>
          <w:szCs w:val="18"/>
        </w:rPr>
      </w:pPr>
    </w:p>
    <w:p w14:paraId="370C66B4" w14:textId="742A8DA9" w:rsidR="00A8486F" w:rsidRDefault="00A8486F" w:rsidP="00A8486F">
      <w:pPr>
        <w:autoSpaceDE w:val="0"/>
        <w:autoSpaceDN w:val="0"/>
        <w:adjustRightInd w:val="0"/>
        <w:jc w:val="both"/>
        <w:rPr>
          <w:rFonts w:cs="Verdana"/>
          <w:szCs w:val="18"/>
        </w:rPr>
      </w:pPr>
      <w:r>
        <w:rPr>
          <w:rFonts w:cs="Verdana"/>
          <w:szCs w:val="18"/>
        </w:rPr>
        <w:t>De laatst genoemde worden in DAC8 ‘Exploitanten van cryptoactiva’ (Crypto Asset Operators) genoemd. Tezamen genomen leidt deze keuze in definities tot eenzelfde einduitkomst voor cryptodienstverleners die onder CARF en DAC8 worden aangemerkt als rapporterende cryptodienstverleners. Er bestaat derhalve geen ‘gap’ in de scope tussen CARF en DAC8.</w:t>
      </w:r>
    </w:p>
    <w:p w14:paraId="71CCE918" w14:textId="77777777" w:rsidR="00A8486F" w:rsidRDefault="00A8486F" w:rsidP="00A8486F">
      <w:pPr>
        <w:pStyle w:val="Kop3"/>
      </w:pPr>
      <w:bookmarkStart w:id="32" w:name="_Toc207732150"/>
      <w:r w:rsidRPr="00125767">
        <w:t xml:space="preserve">In welk land moet voldaan worden aan </w:t>
      </w:r>
      <w:proofErr w:type="spellStart"/>
      <w:r w:rsidRPr="00125767">
        <w:t>due</w:t>
      </w:r>
      <w:proofErr w:type="spellEnd"/>
      <w:r w:rsidRPr="00125767">
        <w:t xml:space="preserve"> diligence en</w:t>
      </w:r>
      <w:r>
        <w:t xml:space="preserve"> ra</w:t>
      </w:r>
      <w:r w:rsidRPr="00125767">
        <w:t>pportageverplichtingen</w:t>
      </w:r>
      <w:r>
        <w:t>?</w:t>
      </w:r>
      <w:bookmarkEnd w:id="32"/>
    </w:p>
    <w:p w14:paraId="5D173886" w14:textId="77777777" w:rsidR="00A8486F" w:rsidRDefault="00A8486F" w:rsidP="00FF6271">
      <w:pPr>
        <w:autoSpaceDE w:val="0"/>
        <w:autoSpaceDN w:val="0"/>
        <w:adjustRightInd w:val="0"/>
        <w:jc w:val="both"/>
        <w:rPr>
          <w:rFonts w:cs="Verdana"/>
          <w:szCs w:val="18"/>
        </w:rPr>
      </w:pPr>
      <w:r>
        <w:rPr>
          <w:rFonts w:cs="Verdana"/>
          <w:szCs w:val="18"/>
        </w:rPr>
        <w:t xml:space="preserve">Rapporterende cryptodienstverleners met een </w:t>
      </w:r>
      <w:proofErr w:type="spellStart"/>
      <w:r>
        <w:rPr>
          <w:rFonts w:cs="Verdana"/>
          <w:szCs w:val="18"/>
        </w:rPr>
        <w:t>MiCA</w:t>
      </w:r>
      <w:proofErr w:type="spellEnd"/>
      <w:r>
        <w:rPr>
          <w:rFonts w:cs="Verdana"/>
          <w:szCs w:val="18"/>
        </w:rPr>
        <w:t xml:space="preserve">-vergunning moeten rapporteren in de lidstaat die de </w:t>
      </w:r>
      <w:proofErr w:type="spellStart"/>
      <w:r>
        <w:rPr>
          <w:rFonts w:cs="Verdana"/>
          <w:szCs w:val="18"/>
        </w:rPr>
        <w:t>MiCA</w:t>
      </w:r>
      <w:proofErr w:type="spellEnd"/>
      <w:r>
        <w:rPr>
          <w:rFonts w:cs="Verdana"/>
          <w:szCs w:val="18"/>
        </w:rPr>
        <w:t>-vergunning heeft afgegeven.</w:t>
      </w:r>
    </w:p>
    <w:p w14:paraId="5EE061CB" w14:textId="77777777" w:rsidR="00A8486F" w:rsidRDefault="00A8486F" w:rsidP="00FF6271">
      <w:pPr>
        <w:autoSpaceDE w:val="0"/>
        <w:autoSpaceDN w:val="0"/>
        <w:adjustRightInd w:val="0"/>
        <w:jc w:val="both"/>
        <w:rPr>
          <w:rFonts w:cs="Verdana"/>
          <w:szCs w:val="18"/>
        </w:rPr>
      </w:pPr>
    </w:p>
    <w:p w14:paraId="1EC79C39" w14:textId="2D6152FF" w:rsidR="00563783" w:rsidRDefault="00A8486F" w:rsidP="00563783">
      <w:pPr>
        <w:autoSpaceDE w:val="0"/>
        <w:autoSpaceDN w:val="0"/>
        <w:adjustRightInd w:val="0"/>
        <w:jc w:val="both"/>
      </w:pPr>
      <w:r>
        <w:rPr>
          <w:rFonts w:cs="Verdana"/>
          <w:szCs w:val="18"/>
        </w:rPr>
        <w:t>Voor Exploitanten van cryptoactiva en voor toepassing van het CARF geldt dat de rapporterende cryptodienstverlener moet rapporteren in het land waarmee het de sterkste binding/nauwste band heeft. Om dit vast te stellen zijn in het CARF en DAC8 dezelfde ‘Nexus-bepalingen’ opgenomen. Deze bepalingen kennen een hiërarchie. In situaties waarbij een rapporterende cryptodienstverleners een binding heeft met meerdere landen geldt dat gerapporteerd moet worden in het land met de hoogste Nexus.</w:t>
      </w:r>
    </w:p>
    <w:p w14:paraId="33B6EB6A" w14:textId="2C3595FC" w:rsidR="00A36F76" w:rsidRPr="00A36F76" w:rsidRDefault="00161744" w:rsidP="00563783">
      <w:pPr>
        <w:autoSpaceDE w:val="0"/>
        <w:autoSpaceDN w:val="0"/>
        <w:adjustRightInd w:val="0"/>
        <w:jc w:val="both"/>
        <w:rPr>
          <w:i/>
        </w:rPr>
      </w:pPr>
      <w:r w:rsidRPr="00A36F76">
        <w:t xml:space="preserve">Wanneer u kwalificeert als </w:t>
      </w:r>
      <w:r w:rsidRPr="00563783">
        <w:rPr>
          <w:i/>
          <w:iCs/>
        </w:rPr>
        <w:t>rapporterende aanbieder van cryptoactivadiensten</w:t>
      </w:r>
      <w:r w:rsidRPr="00A36F76">
        <w:t xml:space="preserve"> en waar en waarover u moet rapporteren wordt verder op hoofdlijnen besproken in hoofdstuk 4.</w:t>
      </w:r>
    </w:p>
    <w:p w14:paraId="15A928BD" w14:textId="77777777" w:rsidR="00FF6271" w:rsidRDefault="00FF6271" w:rsidP="00FF6271">
      <w:pPr>
        <w:autoSpaceDE w:val="0"/>
        <w:autoSpaceDN w:val="0"/>
        <w:adjustRightInd w:val="0"/>
        <w:jc w:val="both"/>
      </w:pPr>
    </w:p>
    <w:p w14:paraId="11F19C4A" w14:textId="1D743C79" w:rsidR="00837D45" w:rsidRPr="00386E3F" w:rsidRDefault="00837D45" w:rsidP="00837D45">
      <w:pPr>
        <w:pStyle w:val="Kop2"/>
        <w:rPr>
          <w:rStyle w:val="Kop2Char"/>
          <w:b/>
        </w:rPr>
      </w:pPr>
      <w:bookmarkStart w:id="33" w:name="_Toc529343918"/>
      <w:bookmarkStart w:id="34" w:name="_Toc529343983"/>
      <w:bookmarkStart w:id="35" w:name="_Toc449610379"/>
      <w:bookmarkStart w:id="36" w:name="_Toc529440392"/>
      <w:bookmarkStart w:id="37" w:name="_Toc207732151"/>
      <w:bookmarkStart w:id="38" w:name="_Toc444590536"/>
      <w:bookmarkEnd w:id="33"/>
      <w:bookmarkEnd w:id="34"/>
      <w:r w:rsidRPr="00386E3F">
        <w:rPr>
          <w:rStyle w:val="Kop2Char"/>
          <w:b/>
        </w:rPr>
        <w:t xml:space="preserve">Ingangsdatum en termijn aanlevering </w:t>
      </w:r>
      <w:r w:rsidR="004606B7">
        <w:rPr>
          <w:rStyle w:val="Kop2Char"/>
          <w:b/>
        </w:rPr>
        <w:t>transacties</w:t>
      </w:r>
      <w:bookmarkEnd w:id="35"/>
      <w:bookmarkEnd w:id="36"/>
      <w:bookmarkEnd w:id="37"/>
    </w:p>
    <w:p w14:paraId="4A44BF78" w14:textId="18197029" w:rsidR="004538D2" w:rsidRPr="004538D2" w:rsidRDefault="00124167" w:rsidP="00A91855">
      <w:pPr>
        <w:autoSpaceDE w:val="0"/>
        <w:autoSpaceDN w:val="0"/>
        <w:adjustRightInd w:val="0"/>
        <w:jc w:val="both"/>
        <w:rPr>
          <w:rFonts w:ascii="Verdana-Bold" w:hAnsi="Verdana-Bold" w:cs="Verdana-Bold"/>
          <w:szCs w:val="18"/>
        </w:rPr>
      </w:pPr>
      <w:r>
        <w:t>DAC8 treedt in werking per 1-1-2026. Dit betekent dat u met ingang van deze datum de te rapporteren gegevens moet verzamelen. De eerste rapportage over 2026, dient uiterlijk op 31-1-2027 bij de Belastingdienst te zijn ingediend. Nederland heeft zich gecommitteerd tot uitwisseling van de relevante gegevens (over 2026) op basis van het CARF per 2027</w:t>
      </w:r>
      <w:r>
        <w:rPr>
          <w:rFonts w:cs="Verdana"/>
          <w:szCs w:val="18"/>
        </w:rPr>
        <w:t>. Ook gegevens die onder het CARF worden uitgewisseld dienen uiterlijk 31-1-2027 aan de Belastingdienst te worden gerapporteerd.</w:t>
      </w:r>
      <w:r w:rsidR="00894DA3">
        <w:rPr>
          <w:rFonts w:cs="Verdana"/>
          <w:szCs w:val="18"/>
        </w:rPr>
        <w:t xml:space="preserve"> </w:t>
      </w:r>
      <w:r w:rsidR="005F5536">
        <w:rPr>
          <w:rFonts w:ascii="Verdana-Bold" w:hAnsi="Verdana-Bold" w:cs="Verdana-Bold"/>
          <w:szCs w:val="18"/>
        </w:rPr>
        <w:t>Dit vloeit voort uit artikel 53ter AWR. Voor de wettekst zie paragraaf 2.1.2.</w:t>
      </w:r>
      <w:r w:rsidR="004B7B9D">
        <w:rPr>
          <w:rFonts w:ascii="Verdana-Bold" w:hAnsi="Verdana-Bold" w:cs="Verdana-Bold"/>
          <w:szCs w:val="18"/>
        </w:rPr>
        <w:t xml:space="preserve"> </w:t>
      </w:r>
      <w:r w:rsidR="00A91855">
        <w:rPr>
          <w:rFonts w:ascii="Verdana-Bold" w:hAnsi="Verdana-Bold" w:cs="Verdana-Bold"/>
          <w:szCs w:val="18"/>
        </w:rPr>
        <w:t xml:space="preserve">De eerste rapportage over het jaar 2026 dient uiterlijk 31 januari 2027 te zijn ingediend. </w:t>
      </w:r>
    </w:p>
    <w:bookmarkEnd w:id="38"/>
    <w:p w14:paraId="795E0CAB" w14:textId="77777777" w:rsidR="00837D45" w:rsidRDefault="00837D45" w:rsidP="00837D45">
      <w:pPr>
        <w:autoSpaceDE w:val="0"/>
        <w:autoSpaceDN w:val="0"/>
        <w:adjustRightInd w:val="0"/>
        <w:rPr>
          <w:rFonts w:cs="Arial"/>
          <w:iCs/>
          <w:szCs w:val="18"/>
        </w:rPr>
      </w:pPr>
    </w:p>
    <w:p w14:paraId="2F2B3A73" w14:textId="5F2404C9" w:rsidR="00E462C5" w:rsidRPr="00E462C5" w:rsidRDefault="00B66A66" w:rsidP="00CD0C9A">
      <w:pPr>
        <w:pStyle w:val="Kop1"/>
      </w:pPr>
      <w:bookmarkStart w:id="39" w:name="_Toc449610387"/>
      <w:bookmarkStart w:id="40" w:name="_Toc207732152"/>
      <w:r w:rsidRPr="00386E3F">
        <w:lastRenderedPageBreak/>
        <w:t>Subject gegevensaanlevering</w:t>
      </w:r>
      <w:bookmarkEnd w:id="13"/>
      <w:bookmarkEnd w:id="14"/>
      <w:bookmarkEnd w:id="15"/>
      <w:bookmarkEnd w:id="39"/>
      <w:r w:rsidR="00E462C5">
        <w:t>, NL-</w:t>
      </w:r>
      <w:r w:rsidR="00C00337">
        <w:t>rapporterende aanbieders van cryptoactivadiensten.</w:t>
      </w:r>
      <w:bookmarkEnd w:id="40"/>
    </w:p>
    <w:p w14:paraId="21DC2DA3" w14:textId="5A9E2D51" w:rsidR="00B66A66" w:rsidRPr="00386E3F" w:rsidRDefault="00B66A66" w:rsidP="00D551A6">
      <w:pPr>
        <w:jc w:val="both"/>
      </w:pPr>
      <w:r w:rsidRPr="00386E3F">
        <w:t>Dit hoofdstuk</w:t>
      </w:r>
      <w:r w:rsidR="008819E9">
        <w:t xml:space="preserve"> geeft algemene informatie over het relevante subject inzake de gegevensaanlevering. </w:t>
      </w:r>
      <w:bookmarkStart w:id="41" w:name="_Toc449610388"/>
      <w:r w:rsidR="0064499C">
        <w:t xml:space="preserve">Het </w:t>
      </w:r>
      <w:r w:rsidR="00A32458">
        <w:t xml:space="preserve">beschrijft wanneer er aan de Nederlandse Belastingdienst gerapporteerd moet worden. </w:t>
      </w:r>
      <w:bookmarkEnd w:id="41"/>
    </w:p>
    <w:p w14:paraId="16CF8E00" w14:textId="013D5B10" w:rsidR="008819E9" w:rsidRDefault="00C5436F" w:rsidP="00F35C61">
      <w:pPr>
        <w:pStyle w:val="Kop3"/>
      </w:pPr>
      <w:bookmarkStart w:id="42" w:name="_Toc207732153"/>
      <w:r>
        <w:t>Aanbieders van cryptoactivadiensten</w:t>
      </w:r>
      <w:r w:rsidR="005D2AA2">
        <w:t>?</w:t>
      </w:r>
      <w:bookmarkEnd w:id="42"/>
      <w:r w:rsidR="005D2AA2">
        <w:t xml:space="preserve"> </w:t>
      </w:r>
    </w:p>
    <w:p w14:paraId="338749ED" w14:textId="77777777" w:rsidR="008C053F" w:rsidRDefault="008C053F" w:rsidP="00B66A66">
      <w:pPr>
        <w:rPr>
          <w:b/>
          <w:szCs w:val="18"/>
        </w:rPr>
      </w:pPr>
    </w:p>
    <w:p w14:paraId="3DE6EC45" w14:textId="711BADAD" w:rsidR="00247981" w:rsidRDefault="00E54DCA" w:rsidP="004A0361">
      <w:pPr>
        <w:jc w:val="both"/>
        <w:rPr>
          <w:szCs w:val="18"/>
        </w:rPr>
      </w:pPr>
      <w:r>
        <w:rPr>
          <w:szCs w:val="18"/>
        </w:rPr>
        <w:t>A</w:t>
      </w:r>
      <w:r w:rsidR="00A32458">
        <w:rPr>
          <w:szCs w:val="18"/>
        </w:rPr>
        <w:t xml:space="preserve">anbieders van cryptoactivadiensten </w:t>
      </w:r>
      <w:r>
        <w:rPr>
          <w:szCs w:val="18"/>
        </w:rPr>
        <w:t>zijn allereerst</w:t>
      </w:r>
      <w:r w:rsidR="00C61150">
        <w:rPr>
          <w:szCs w:val="18"/>
        </w:rPr>
        <w:t xml:space="preserve"> aanbieders van cryptoactivadiensten die onder Verordening EU 2023/11</w:t>
      </w:r>
      <w:r w:rsidR="000D2934">
        <w:rPr>
          <w:szCs w:val="18"/>
        </w:rPr>
        <w:t>1</w:t>
      </w:r>
      <w:r w:rsidR="00C61150">
        <w:rPr>
          <w:szCs w:val="18"/>
        </w:rPr>
        <w:t>4 (hier</w:t>
      </w:r>
      <w:r w:rsidR="002926C3">
        <w:rPr>
          <w:szCs w:val="18"/>
        </w:rPr>
        <w:t>n</w:t>
      </w:r>
      <w:r w:rsidR="00C61150">
        <w:rPr>
          <w:szCs w:val="18"/>
        </w:rPr>
        <w:t xml:space="preserve">a; de </w:t>
      </w:r>
      <w:proofErr w:type="spellStart"/>
      <w:r w:rsidR="00C61150">
        <w:rPr>
          <w:szCs w:val="18"/>
        </w:rPr>
        <w:t>M</w:t>
      </w:r>
      <w:r w:rsidR="005A2C39">
        <w:rPr>
          <w:szCs w:val="18"/>
        </w:rPr>
        <w:t>i</w:t>
      </w:r>
      <w:r w:rsidR="00C61150">
        <w:rPr>
          <w:szCs w:val="18"/>
        </w:rPr>
        <w:t>CA</w:t>
      </w:r>
      <w:proofErr w:type="spellEnd"/>
      <w:r w:rsidR="00951143">
        <w:rPr>
          <w:szCs w:val="18"/>
        </w:rPr>
        <w:t>-</w:t>
      </w:r>
      <w:r w:rsidR="00C61150">
        <w:rPr>
          <w:szCs w:val="18"/>
        </w:rPr>
        <w:t xml:space="preserve">Verordening) </w:t>
      </w:r>
      <w:proofErr w:type="spellStart"/>
      <w:r w:rsidR="00A32458">
        <w:rPr>
          <w:szCs w:val="18"/>
        </w:rPr>
        <w:t>vergunning</w:t>
      </w:r>
      <w:r w:rsidR="00D551A6">
        <w:rPr>
          <w:szCs w:val="18"/>
        </w:rPr>
        <w:t>s</w:t>
      </w:r>
      <w:r w:rsidR="00A32458">
        <w:rPr>
          <w:szCs w:val="18"/>
        </w:rPr>
        <w:t>plichtig</w:t>
      </w:r>
      <w:proofErr w:type="spellEnd"/>
      <w:r w:rsidR="00A32458">
        <w:rPr>
          <w:szCs w:val="18"/>
        </w:rPr>
        <w:t xml:space="preserve"> zijn. </w:t>
      </w:r>
      <w:r>
        <w:rPr>
          <w:szCs w:val="18"/>
        </w:rPr>
        <w:t xml:space="preserve">Daarnaast </w:t>
      </w:r>
      <w:r w:rsidR="009E3C02">
        <w:rPr>
          <w:szCs w:val="18"/>
        </w:rPr>
        <w:t>zijn</w:t>
      </w:r>
      <w:r>
        <w:rPr>
          <w:szCs w:val="18"/>
        </w:rPr>
        <w:t xml:space="preserve"> </w:t>
      </w:r>
      <w:r w:rsidR="009E3C02">
        <w:rPr>
          <w:szCs w:val="18"/>
        </w:rPr>
        <w:t xml:space="preserve">aanbieders van cryptoactivadiensten </w:t>
      </w:r>
      <w:r>
        <w:rPr>
          <w:szCs w:val="18"/>
        </w:rPr>
        <w:t xml:space="preserve">ook </w:t>
      </w:r>
      <w:r w:rsidR="00C61150">
        <w:rPr>
          <w:szCs w:val="18"/>
        </w:rPr>
        <w:t xml:space="preserve">aanbieders van </w:t>
      </w:r>
      <w:proofErr w:type="spellStart"/>
      <w:r w:rsidR="00C61150">
        <w:rPr>
          <w:szCs w:val="18"/>
        </w:rPr>
        <w:t>cryptoactivadiensten</w:t>
      </w:r>
      <w:proofErr w:type="spellEnd"/>
      <w:r w:rsidR="00C61150">
        <w:rPr>
          <w:szCs w:val="18"/>
        </w:rPr>
        <w:t xml:space="preserve"> die NIET </w:t>
      </w:r>
      <w:proofErr w:type="spellStart"/>
      <w:r w:rsidR="00FB1113">
        <w:rPr>
          <w:szCs w:val="18"/>
        </w:rPr>
        <w:t>vergunning</w:t>
      </w:r>
      <w:r w:rsidR="00413767">
        <w:rPr>
          <w:szCs w:val="18"/>
        </w:rPr>
        <w:t>s</w:t>
      </w:r>
      <w:r w:rsidR="00FB1113">
        <w:rPr>
          <w:szCs w:val="18"/>
        </w:rPr>
        <w:t>plichtig</w:t>
      </w:r>
      <w:proofErr w:type="spellEnd"/>
      <w:r w:rsidR="00FB1113">
        <w:rPr>
          <w:szCs w:val="18"/>
        </w:rPr>
        <w:t xml:space="preserve"> zijn</w:t>
      </w:r>
      <w:r w:rsidR="00A32458">
        <w:rPr>
          <w:szCs w:val="18"/>
        </w:rPr>
        <w:t xml:space="preserve"> </w:t>
      </w:r>
      <w:r w:rsidR="00C61150">
        <w:rPr>
          <w:szCs w:val="18"/>
        </w:rPr>
        <w:t xml:space="preserve">onder de </w:t>
      </w:r>
      <w:proofErr w:type="spellStart"/>
      <w:r w:rsidR="00C61150">
        <w:rPr>
          <w:szCs w:val="18"/>
        </w:rPr>
        <w:t>M</w:t>
      </w:r>
      <w:r w:rsidR="000D2934">
        <w:rPr>
          <w:szCs w:val="18"/>
        </w:rPr>
        <w:t>i</w:t>
      </w:r>
      <w:r w:rsidR="00C61150">
        <w:rPr>
          <w:szCs w:val="18"/>
        </w:rPr>
        <w:t>CA</w:t>
      </w:r>
      <w:proofErr w:type="spellEnd"/>
      <w:r w:rsidR="00951143">
        <w:rPr>
          <w:szCs w:val="18"/>
        </w:rPr>
        <w:t>-</w:t>
      </w:r>
      <w:r w:rsidR="00C61150">
        <w:rPr>
          <w:szCs w:val="18"/>
        </w:rPr>
        <w:t>Verorde</w:t>
      </w:r>
      <w:r w:rsidR="000D2934">
        <w:rPr>
          <w:szCs w:val="18"/>
        </w:rPr>
        <w:t>n</w:t>
      </w:r>
      <w:r w:rsidR="00C61150">
        <w:rPr>
          <w:szCs w:val="18"/>
        </w:rPr>
        <w:t>ing. Deze tweede groep van aanbieders van cryptoactivadiens</w:t>
      </w:r>
      <w:r w:rsidR="00507B43">
        <w:rPr>
          <w:szCs w:val="18"/>
        </w:rPr>
        <w:t>t</w:t>
      </w:r>
      <w:r w:rsidR="00C61150">
        <w:rPr>
          <w:szCs w:val="18"/>
        </w:rPr>
        <w:t>en bet</w:t>
      </w:r>
      <w:r w:rsidR="000B1D4E">
        <w:rPr>
          <w:szCs w:val="18"/>
        </w:rPr>
        <w:t>r</w:t>
      </w:r>
      <w:r w:rsidR="00C61150">
        <w:rPr>
          <w:szCs w:val="18"/>
        </w:rPr>
        <w:t xml:space="preserve">eft </w:t>
      </w:r>
      <w:r w:rsidR="000B1D4E">
        <w:rPr>
          <w:szCs w:val="18"/>
        </w:rPr>
        <w:t xml:space="preserve">de zogenoemde “exploitanten van cryptoactiva”. </w:t>
      </w:r>
    </w:p>
    <w:p w14:paraId="090D8BDE" w14:textId="24661D2D" w:rsidR="00247981" w:rsidRPr="00616C68" w:rsidRDefault="00247981" w:rsidP="00616C68">
      <w:pPr>
        <w:pStyle w:val="Kop3"/>
      </w:pPr>
      <w:bookmarkStart w:id="43" w:name="_Toc207732154"/>
      <w:r w:rsidRPr="00616C68">
        <w:t>Wat zijn cryptoactivadiensten</w:t>
      </w:r>
      <w:r w:rsidR="00D551A6" w:rsidRPr="00616C68">
        <w:t xml:space="preserve"> zoals gedefinieerd in de </w:t>
      </w:r>
      <w:proofErr w:type="spellStart"/>
      <w:r w:rsidR="00D551A6" w:rsidRPr="00616C68">
        <w:t>MiCA</w:t>
      </w:r>
      <w:proofErr w:type="spellEnd"/>
      <w:r w:rsidR="00D551A6" w:rsidRPr="00616C68">
        <w:t>-verordening</w:t>
      </w:r>
      <w:r w:rsidRPr="00616C68">
        <w:t>?</w:t>
      </w:r>
      <w:bookmarkEnd w:id="43"/>
      <w:r w:rsidR="00616C68">
        <w:br/>
      </w:r>
    </w:p>
    <w:p w14:paraId="67BB8C67" w14:textId="77777777" w:rsidR="00247981" w:rsidRDefault="00247981" w:rsidP="00247981">
      <w:pPr>
        <w:jc w:val="both"/>
      </w:pPr>
      <w:r>
        <w:t xml:space="preserve">DAC8 verwijst hiervoor naar artikel 3 van de </w:t>
      </w:r>
      <w:proofErr w:type="spellStart"/>
      <w:r>
        <w:t>MiCA</w:t>
      </w:r>
      <w:proofErr w:type="spellEnd"/>
      <w:r>
        <w:t>-verordening waarin wordt opgesomd wat onder “cryptoactivadiensten” wordt verstaan, namelijk:</w:t>
      </w:r>
    </w:p>
    <w:p w14:paraId="21063392" w14:textId="77777777" w:rsidR="00247981" w:rsidRDefault="00247981" w:rsidP="00247981">
      <w:pPr>
        <w:pStyle w:val="Lijstalinea"/>
        <w:numPr>
          <w:ilvl w:val="0"/>
          <w:numId w:val="12"/>
        </w:numPr>
      </w:pPr>
      <w:r>
        <w:t xml:space="preserve">Het bewaren en beheren van cryptoactiva namens klanten, </w:t>
      </w:r>
    </w:p>
    <w:p w14:paraId="05F52DF3" w14:textId="77777777" w:rsidR="00247981" w:rsidRDefault="00247981" w:rsidP="00247981">
      <w:pPr>
        <w:pStyle w:val="Lijstalinea"/>
        <w:numPr>
          <w:ilvl w:val="0"/>
          <w:numId w:val="12"/>
        </w:numPr>
      </w:pPr>
      <w:r>
        <w:t xml:space="preserve">het exploiteren van een cryptoactiva handelsplatform, </w:t>
      </w:r>
    </w:p>
    <w:p w14:paraId="29F088D0" w14:textId="77777777" w:rsidR="00247981" w:rsidRDefault="00247981" w:rsidP="00247981">
      <w:pPr>
        <w:pStyle w:val="Lijstalinea"/>
        <w:numPr>
          <w:ilvl w:val="0"/>
          <w:numId w:val="12"/>
        </w:numPr>
      </w:pPr>
      <w:r>
        <w:t xml:space="preserve">het omwisselen van cryptoactiva voor geldmiddelen, </w:t>
      </w:r>
    </w:p>
    <w:p w14:paraId="0BBD5C9F" w14:textId="77777777" w:rsidR="00247981" w:rsidRDefault="00247981" w:rsidP="00247981">
      <w:pPr>
        <w:pStyle w:val="Lijstalinea"/>
        <w:numPr>
          <w:ilvl w:val="0"/>
          <w:numId w:val="12"/>
        </w:numPr>
      </w:pPr>
      <w:r>
        <w:t xml:space="preserve">het omwisselen van cryptoactiva voor andere cryptoactiva, </w:t>
      </w:r>
    </w:p>
    <w:p w14:paraId="7A96F70E" w14:textId="0024CE61" w:rsidR="00247981" w:rsidRDefault="00247981" w:rsidP="00247981">
      <w:pPr>
        <w:pStyle w:val="Lijstalinea"/>
        <w:numPr>
          <w:ilvl w:val="0"/>
          <w:numId w:val="12"/>
        </w:numPr>
      </w:pPr>
      <w:r>
        <w:t>het uitvoeren van cryptoactiva</w:t>
      </w:r>
      <w:r w:rsidR="007A3316">
        <w:t xml:space="preserve"> </w:t>
      </w:r>
      <w:r>
        <w:t xml:space="preserve">orders namens klanten, </w:t>
      </w:r>
    </w:p>
    <w:p w14:paraId="0C90D63D" w14:textId="77777777" w:rsidR="00247981" w:rsidRDefault="00247981" w:rsidP="00247981">
      <w:pPr>
        <w:pStyle w:val="Lijstalinea"/>
        <w:numPr>
          <w:ilvl w:val="0"/>
          <w:numId w:val="12"/>
        </w:numPr>
      </w:pPr>
      <w:r>
        <w:t xml:space="preserve">het plaatsen van cryptoactiva, </w:t>
      </w:r>
    </w:p>
    <w:p w14:paraId="2B77A945" w14:textId="04D75C60" w:rsidR="00247981" w:rsidRDefault="00247981" w:rsidP="00247981">
      <w:pPr>
        <w:pStyle w:val="Lijstalinea"/>
        <w:numPr>
          <w:ilvl w:val="0"/>
          <w:numId w:val="12"/>
        </w:numPr>
      </w:pPr>
      <w:r>
        <w:t>het ontvangen en doorgeven van cryptoactiva</w:t>
      </w:r>
      <w:r w:rsidR="007A3316">
        <w:t xml:space="preserve"> </w:t>
      </w:r>
      <w:r>
        <w:t xml:space="preserve">orders namens klanten, </w:t>
      </w:r>
    </w:p>
    <w:p w14:paraId="28A57E01" w14:textId="77777777" w:rsidR="00247981" w:rsidRDefault="00247981" w:rsidP="00247981">
      <w:pPr>
        <w:pStyle w:val="Lijstalinea"/>
        <w:numPr>
          <w:ilvl w:val="0"/>
          <w:numId w:val="12"/>
        </w:numPr>
      </w:pPr>
      <w:r>
        <w:t xml:space="preserve">het verlenen van advies over cryptoactiva, </w:t>
      </w:r>
    </w:p>
    <w:p w14:paraId="6FDFC035" w14:textId="77777777" w:rsidR="00247981" w:rsidRDefault="00247981" w:rsidP="00247981">
      <w:pPr>
        <w:pStyle w:val="Lijstalinea"/>
        <w:numPr>
          <w:ilvl w:val="0"/>
          <w:numId w:val="12"/>
        </w:numPr>
      </w:pPr>
      <w:r>
        <w:t xml:space="preserve">het verzorgen van portefeuillebeheer voor cryptoactiva, </w:t>
      </w:r>
    </w:p>
    <w:p w14:paraId="75DD94E8" w14:textId="16CC565F" w:rsidR="00247981" w:rsidRDefault="00247981" w:rsidP="00247981">
      <w:pPr>
        <w:pStyle w:val="Lijstalinea"/>
        <w:numPr>
          <w:ilvl w:val="0"/>
          <w:numId w:val="12"/>
        </w:numPr>
      </w:pPr>
      <w:r>
        <w:t>het verlenen van cryptoactiva</w:t>
      </w:r>
      <w:r w:rsidR="007A3316">
        <w:t xml:space="preserve"> </w:t>
      </w:r>
      <w:r>
        <w:t>overdrachten namens klanten.</w:t>
      </w:r>
    </w:p>
    <w:p w14:paraId="50A67899" w14:textId="77777777" w:rsidR="00247981" w:rsidRDefault="00247981" w:rsidP="00247981"/>
    <w:p w14:paraId="79E4688C" w14:textId="7FCC119C" w:rsidR="000D2934" w:rsidRDefault="00247981" w:rsidP="000D2934">
      <w:pPr>
        <w:autoSpaceDE w:val="0"/>
        <w:autoSpaceDN w:val="0"/>
        <w:adjustRightInd w:val="0"/>
        <w:rPr>
          <w:i/>
          <w:szCs w:val="18"/>
        </w:rPr>
      </w:pPr>
      <w:r>
        <w:t xml:space="preserve">Staking en uitlenen worden ook onder bovengenoemde </w:t>
      </w:r>
      <w:proofErr w:type="spellStart"/>
      <w:r>
        <w:t>cryptoactivadienst</w:t>
      </w:r>
      <w:proofErr w:type="spellEnd"/>
      <w:r>
        <w:t>(en) geschaard.</w:t>
      </w:r>
    </w:p>
    <w:p w14:paraId="244802AE" w14:textId="7EF129C3" w:rsidR="000D2934" w:rsidRPr="00616C68" w:rsidRDefault="00AE7FC0" w:rsidP="00616C68">
      <w:pPr>
        <w:pStyle w:val="Kop3"/>
      </w:pPr>
      <w:bookmarkStart w:id="44" w:name="_Toc207732155"/>
      <w:r w:rsidRPr="00616C68">
        <w:t>Aanbieders</w:t>
      </w:r>
      <w:r w:rsidR="000D2934" w:rsidRPr="00616C68">
        <w:t xml:space="preserve"> waarop de </w:t>
      </w:r>
      <w:proofErr w:type="spellStart"/>
      <w:r w:rsidR="000D2934" w:rsidRPr="00616C68">
        <w:t>M</w:t>
      </w:r>
      <w:r w:rsidR="00260E06" w:rsidRPr="00616C68">
        <w:t>i</w:t>
      </w:r>
      <w:r w:rsidR="000D2934" w:rsidRPr="00616C68">
        <w:t>CA</w:t>
      </w:r>
      <w:proofErr w:type="spellEnd"/>
      <w:r w:rsidR="00951143" w:rsidRPr="00616C68">
        <w:t>-</w:t>
      </w:r>
      <w:r w:rsidR="000D2934" w:rsidRPr="00616C68">
        <w:t>Verordening van toepassing is:</w:t>
      </w:r>
      <w:bookmarkEnd w:id="44"/>
      <w:r w:rsidR="00616C68">
        <w:br/>
      </w:r>
    </w:p>
    <w:p w14:paraId="3CDED9FA" w14:textId="3AEFCBCE" w:rsidR="000D2934" w:rsidRPr="000D2934" w:rsidRDefault="000D2934" w:rsidP="00192D2E">
      <w:pPr>
        <w:pStyle w:val="Lijstalinea"/>
        <w:numPr>
          <w:ilvl w:val="0"/>
          <w:numId w:val="11"/>
        </w:numPr>
        <w:autoSpaceDE w:val="0"/>
        <w:autoSpaceDN w:val="0"/>
        <w:adjustRightInd w:val="0"/>
        <w:rPr>
          <w:rFonts w:cs="Verdana"/>
          <w:szCs w:val="18"/>
        </w:rPr>
      </w:pPr>
      <w:r w:rsidRPr="000D2934">
        <w:rPr>
          <w:rFonts w:cs="Verdana"/>
          <w:szCs w:val="18"/>
        </w:rPr>
        <w:t xml:space="preserve">een entiteit is waaraan door de Autoriteit Financiële Markten overeenkomstig artikel 63 van de </w:t>
      </w:r>
      <w:proofErr w:type="spellStart"/>
      <w:r w:rsidRPr="000D2934">
        <w:rPr>
          <w:rFonts w:cs="Verdana"/>
          <w:szCs w:val="18"/>
        </w:rPr>
        <w:t>M</w:t>
      </w:r>
      <w:r w:rsidR="00260E06">
        <w:rPr>
          <w:rFonts w:cs="Verdana"/>
          <w:szCs w:val="18"/>
        </w:rPr>
        <w:t>i</w:t>
      </w:r>
      <w:r w:rsidRPr="000D2934">
        <w:rPr>
          <w:rFonts w:cs="Verdana"/>
          <w:szCs w:val="18"/>
        </w:rPr>
        <w:t>CA</w:t>
      </w:r>
      <w:proofErr w:type="spellEnd"/>
      <w:r w:rsidR="00951143">
        <w:rPr>
          <w:rFonts w:cs="Verdana"/>
          <w:szCs w:val="18"/>
        </w:rPr>
        <w:t>-</w:t>
      </w:r>
      <w:r w:rsidRPr="000D2934">
        <w:rPr>
          <w:rFonts w:cs="Verdana"/>
          <w:szCs w:val="18"/>
        </w:rPr>
        <w:t>Verordening een vergunning is verleend voor het verlenen van cryptoactivadiensten</w:t>
      </w:r>
      <w:r w:rsidR="00474CDB">
        <w:rPr>
          <w:rFonts w:cs="Verdana"/>
          <w:szCs w:val="18"/>
        </w:rPr>
        <w:t>;</w:t>
      </w:r>
      <w:r w:rsidRPr="000D2934">
        <w:rPr>
          <w:rFonts w:cs="Verdana"/>
          <w:szCs w:val="18"/>
        </w:rPr>
        <w:t xml:space="preserve"> of</w:t>
      </w:r>
    </w:p>
    <w:p w14:paraId="3479714B" w14:textId="5CAAF4C7" w:rsidR="00C00337" w:rsidRDefault="000D2934" w:rsidP="00192D2E">
      <w:pPr>
        <w:pStyle w:val="Lijstalinea"/>
        <w:numPr>
          <w:ilvl w:val="0"/>
          <w:numId w:val="11"/>
        </w:numPr>
        <w:autoSpaceDE w:val="0"/>
        <w:autoSpaceDN w:val="0"/>
        <w:adjustRightInd w:val="0"/>
        <w:rPr>
          <w:rFonts w:cs="Verdana"/>
          <w:szCs w:val="18"/>
        </w:rPr>
      </w:pPr>
      <w:r w:rsidRPr="00865EF1">
        <w:rPr>
          <w:rFonts w:cs="Verdana"/>
          <w:szCs w:val="18"/>
        </w:rPr>
        <w:t xml:space="preserve">die na een notificatie aan de AFM overeenkomstig artikel 60 van genoemde </w:t>
      </w:r>
      <w:proofErr w:type="spellStart"/>
      <w:r w:rsidRPr="00865EF1">
        <w:rPr>
          <w:rFonts w:cs="Verdana"/>
          <w:szCs w:val="18"/>
        </w:rPr>
        <w:t>MiCA</w:t>
      </w:r>
      <w:proofErr w:type="spellEnd"/>
      <w:r w:rsidRPr="00865EF1">
        <w:rPr>
          <w:rFonts w:cs="Verdana"/>
          <w:szCs w:val="18"/>
        </w:rPr>
        <w:t xml:space="preserve">-Verordening </w:t>
      </w:r>
      <w:proofErr w:type="spellStart"/>
      <w:r w:rsidRPr="00865EF1">
        <w:rPr>
          <w:rFonts w:cs="Verdana"/>
          <w:szCs w:val="18"/>
        </w:rPr>
        <w:t>cryptoactivadiensten</w:t>
      </w:r>
      <w:proofErr w:type="spellEnd"/>
      <w:r w:rsidRPr="00865EF1">
        <w:rPr>
          <w:rFonts w:cs="Verdana"/>
          <w:szCs w:val="18"/>
        </w:rPr>
        <w:t xml:space="preserve"> mag verlenen.</w:t>
      </w:r>
    </w:p>
    <w:p w14:paraId="662B0B84" w14:textId="77777777" w:rsidR="009B1F19" w:rsidRDefault="009B1F19" w:rsidP="009B1F19">
      <w:pPr>
        <w:autoSpaceDE w:val="0"/>
        <w:autoSpaceDN w:val="0"/>
        <w:adjustRightInd w:val="0"/>
        <w:rPr>
          <w:rFonts w:cs="Verdana"/>
          <w:szCs w:val="18"/>
        </w:rPr>
      </w:pPr>
    </w:p>
    <w:p w14:paraId="38A86F3E" w14:textId="7D870715" w:rsidR="009B1F19" w:rsidRDefault="009B1F19" w:rsidP="004A0361">
      <w:pPr>
        <w:autoSpaceDE w:val="0"/>
        <w:autoSpaceDN w:val="0"/>
        <w:adjustRightInd w:val="0"/>
        <w:jc w:val="both"/>
        <w:rPr>
          <w:rFonts w:cs="Verdana"/>
          <w:szCs w:val="18"/>
        </w:rPr>
      </w:pPr>
      <w:r w:rsidRPr="00D551A6">
        <w:rPr>
          <w:rFonts w:cs="Verdana"/>
          <w:b/>
          <w:bCs/>
          <w:szCs w:val="18"/>
        </w:rPr>
        <w:t>Voorbeeld ad 1)</w:t>
      </w:r>
      <w:r>
        <w:rPr>
          <w:rFonts w:cs="Verdana"/>
          <w:szCs w:val="18"/>
        </w:rPr>
        <w:t xml:space="preserve"> een </w:t>
      </w:r>
      <w:r w:rsidRPr="000A5FBB">
        <w:rPr>
          <w:rFonts w:cs="Verdana"/>
          <w:i/>
          <w:iCs/>
          <w:szCs w:val="18"/>
        </w:rPr>
        <w:t>rechtspersoon</w:t>
      </w:r>
      <w:r>
        <w:rPr>
          <w:rFonts w:cs="Verdana"/>
          <w:szCs w:val="18"/>
        </w:rPr>
        <w:t xml:space="preserve"> of andere onderneming die van de AFM een vergunning als aanbieder van cryptoactivadiensten heeft gekregen</w:t>
      </w:r>
      <w:r w:rsidR="00671116">
        <w:rPr>
          <w:rFonts w:cs="Verdana"/>
          <w:szCs w:val="18"/>
        </w:rPr>
        <w:t xml:space="preserve"> en als zodanig staat opgenomen in het vergunningenregister van de AFM</w:t>
      </w:r>
      <w:r>
        <w:rPr>
          <w:rFonts w:cs="Verdana"/>
          <w:szCs w:val="18"/>
        </w:rPr>
        <w:t xml:space="preserve">. </w:t>
      </w:r>
    </w:p>
    <w:p w14:paraId="3679A634" w14:textId="77777777" w:rsidR="008D0690" w:rsidRDefault="008D0690" w:rsidP="009B1F19">
      <w:pPr>
        <w:autoSpaceDE w:val="0"/>
        <w:autoSpaceDN w:val="0"/>
        <w:adjustRightInd w:val="0"/>
        <w:rPr>
          <w:rFonts w:cs="Verdana"/>
          <w:szCs w:val="18"/>
        </w:rPr>
      </w:pPr>
    </w:p>
    <w:p w14:paraId="093E77FD" w14:textId="078C4D87" w:rsidR="00101E08" w:rsidRPr="009B1F19" w:rsidRDefault="00101E08" w:rsidP="004A0361">
      <w:pPr>
        <w:autoSpaceDE w:val="0"/>
        <w:autoSpaceDN w:val="0"/>
        <w:adjustRightInd w:val="0"/>
        <w:jc w:val="both"/>
        <w:rPr>
          <w:rFonts w:cs="Verdana"/>
          <w:szCs w:val="18"/>
        </w:rPr>
      </w:pPr>
      <w:r w:rsidRPr="00D551A6">
        <w:rPr>
          <w:rFonts w:cs="Verdana"/>
          <w:b/>
          <w:bCs/>
          <w:szCs w:val="18"/>
        </w:rPr>
        <w:t>Voorbeeld ad 2)</w:t>
      </w:r>
      <w:r>
        <w:rPr>
          <w:rFonts w:cs="Verdana"/>
          <w:szCs w:val="18"/>
        </w:rPr>
        <w:t xml:space="preserve"> </w:t>
      </w:r>
      <w:r w:rsidR="00671116">
        <w:rPr>
          <w:rFonts w:cs="Verdana"/>
          <w:szCs w:val="18"/>
        </w:rPr>
        <w:t>E</w:t>
      </w:r>
      <w:r>
        <w:rPr>
          <w:rFonts w:cs="Verdana"/>
          <w:szCs w:val="18"/>
        </w:rPr>
        <w:t xml:space="preserve">en kredietinstelling, een centrale </w:t>
      </w:r>
      <w:proofErr w:type="spellStart"/>
      <w:r>
        <w:rPr>
          <w:rFonts w:cs="Verdana"/>
          <w:szCs w:val="18"/>
        </w:rPr>
        <w:t>effectenbewaarinstelling</w:t>
      </w:r>
      <w:proofErr w:type="spellEnd"/>
      <w:r>
        <w:rPr>
          <w:rFonts w:cs="Verdana"/>
          <w:szCs w:val="18"/>
        </w:rPr>
        <w:t>, een belegging</w:t>
      </w:r>
      <w:r w:rsidR="00BE2809">
        <w:rPr>
          <w:rFonts w:cs="Verdana"/>
          <w:szCs w:val="18"/>
        </w:rPr>
        <w:t>s</w:t>
      </w:r>
      <w:r>
        <w:rPr>
          <w:rFonts w:cs="Verdana"/>
          <w:szCs w:val="18"/>
        </w:rPr>
        <w:t xml:space="preserve">onderneming, een marktexploitant, een instelling voor elektronisch geld, </w:t>
      </w:r>
      <w:r w:rsidR="008D0690">
        <w:rPr>
          <w:rFonts w:cs="Verdana"/>
          <w:szCs w:val="18"/>
        </w:rPr>
        <w:t>een beheermaatschappij van instellingen voor collectieve belegging in effecten of beheerder van alternatieve beleggingsinstellingen die de AFM tijdig in kennis stelt van de voorgenomen cryptoactivadiensten en daarbij de voorgeschreven informatie overlegt.</w:t>
      </w:r>
    </w:p>
    <w:p w14:paraId="2A6C8DE5" w14:textId="77777777" w:rsidR="00865EF1" w:rsidRDefault="00865EF1" w:rsidP="004A0361">
      <w:pPr>
        <w:autoSpaceDE w:val="0"/>
        <w:autoSpaceDN w:val="0"/>
        <w:adjustRightInd w:val="0"/>
        <w:jc w:val="both"/>
        <w:rPr>
          <w:rFonts w:cs="Verdana"/>
          <w:i/>
          <w:iCs/>
          <w:szCs w:val="18"/>
        </w:rPr>
      </w:pPr>
    </w:p>
    <w:p w14:paraId="1ECB866A" w14:textId="55402B4F" w:rsidR="00AE7FC0" w:rsidRDefault="00AE7FC0" w:rsidP="004A0361">
      <w:pPr>
        <w:autoSpaceDE w:val="0"/>
        <w:autoSpaceDN w:val="0"/>
        <w:adjustRightInd w:val="0"/>
        <w:jc w:val="both"/>
        <w:rPr>
          <w:rFonts w:cs="Verdana"/>
          <w:i/>
          <w:iCs/>
          <w:szCs w:val="18"/>
        </w:rPr>
      </w:pPr>
      <w:r>
        <w:rPr>
          <w:szCs w:val="22"/>
        </w:rPr>
        <w:t xml:space="preserve">Onder een Exploitant van cryptoactiva </w:t>
      </w:r>
      <w:r w:rsidRPr="007F2885">
        <w:rPr>
          <w:szCs w:val="22"/>
        </w:rPr>
        <w:t>wordt verstaan een andere verstrekker van cryptoactivadiensten dan een aanbieder van cryptoactivadiensten</w:t>
      </w:r>
      <w:r>
        <w:rPr>
          <w:szCs w:val="22"/>
        </w:rPr>
        <w:t xml:space="preserve"> aan wie een </w:t>
      </w:r>
      <w:proofErr w:type="spellStart"/>
      <w:r>
        <w:rPr>
          <w:szCs w:val="22"/>
        </w:rPr>
        <w:t>MiCA</w:t>
      </w:r>
      <w:proofErr w:type="spellEnd"/>
      <w:r>
        <w:rPr>
          <w:szCs w:val="22"/>
        </w:rPr>
        <w:t>-vergunning is verleend of die na notificatie cryptoactivadiensten mag verlenen.</w:t>
      </w:r>
    </w:p>
    <w:p w14:paraId="3BF65703" w14:textId="77777777" w:rsidR="00AE7FC0" w:rsidRDefault="00AE7FC0" w:rsidP="004A0361">
      <w:pPr>
        <w:autoSpaceDE w:val="0"/>
        <w:autoSpaceDN w:val="0"/>
        <w:adjustRightInd w:val="0"/>
        <w:jc w:val="both"/>
        <w:rPr>
          <w:rFonts w:cs="Verdana"/>
          <w:i/>
          <w:iCs/>
          <w:szCs w:val="18"/>
        </w:rPr>
      </w:pPr>
    </w:p>
    <w:p w14:paraId="3265C938" w14:textId="3D5B26AA" w:rsidR="00474CDB" w:rsidRDefault="00AE7FC0" w:rsidP="00894DA3">
      <w:pPr>
        <w:autoSpaceDE w:val="0"/>
        <w:autoSpaceDN w:val="0"/>
        <w:adjustRightInd w:val="0"/>
        <w:jc w:val="both"/>
        <w:rPr>
          <w:rFonts w:cs="Verdana"/>
          <w:szCs w:val="18"/>
        </w:rPr>
      </w:pPr>
      <w:r w:rsidRPr="00D551A6">
        <w:rPr>
          <w:rFonts w:cs="Verdana"/>
          <w:szCs w:val="18"/>
        </w:rPr>
        <w:lastRenderedPageBreak/>
        <w:t xml:space="preserve">Voorbeelden van exploitanten zijn natuurlijke personen die cryptoactivadiensten verlenen, aanbieders van </w:t>
      </w:r>
      <w:proofErr w:type="spellStart"/>
      <w:r w:rsidRPr="00D551A6">
        <w:rPr>
          <w:rFonts w:cs="Verdana"/>
          <w:szCs w:val="18"/>
        </w:rPr>
        <w:t>NFT’s</w:t>
      </w:r>
      <w:proofErr w:type="spellEnd"/>
      <w:r w:rsidRPr="00D551A6">
        <w:rPr>
          <w:rFonts w:cs="Verdana"/>
          <w:szCs w:val="18"/>
        </w:rPr>
        <w:t xml:space="preserve"> en </w:t>
      </w:r>
      <w:r w:rsidR="00C5436F" w:rsidRPr="00D551A6">
        <w:rPr>
          <w:rFonts w:cs="Verdana"/>
          <w:szCs w:val="18"/>
        </w:rPr>
        <w:t>cryptodienstverlener</w:t>
      </w:r>
      <w:r w:rsidRPr="00D551A6">
        <w:rPr>
          <w:rFonts w:cs="Verdana"/>
          <w:szCs w:val="18"/>
        </w:rPr>
        <w:t>s</w:t>
      </w:r>
      <w:r w:rsidR="00C5436F" w:rsidRPr="00D551A6">
        <w:rPr>
          <w:rFonts w:cs="Verdana"/>
          <w:szCs w:val="18"/>
        </w:rPr>
        <w:t xml:space="preserve"> uit een niet EU land </w:t>
      </w:r>
      <w:r w:rsidR="00760655" w:rsidRPr="00D551A6">
        <w:rPr>
          <w:rFonts w:cs="Verdana"/>
          <w:szCs w:val="18"/>
        </w:rPr>
        <w:t>die</w:t>
      </w:r>
      <w:r w:rsidR="00C5436F" w:rsidRPr="00D551A6">
        <w:rPr>
          <w:rFonts w:cs="Verdana"/>
          <w:szCs w:val="18"/>
        </w:rPr>
        <w:t xml:space="preserve"> via een bijkantoor in de Nederland cryptoactivadiensten aanbied</w:t>
      </w:r>
      <w:r w:rsidRPr="00D551A6">
        <w:rPr>
          <w:rFonts w:cs="Verdana"/>
          <w:szCs w:val="18"/>
        </w:rPr>
        <w:t>en</w:t>
      </w:r>
      <w:r w:rsidR="00C5436F" w:rsidRPr="00D551A6">
        <w:rPr>
          <w:rFonts w:cs="Verdana"/>
          <w:szCs w:val="18"/>
        </w:rPr>
        <w:t xml:space="preserve"> aan EU burgers. </w:t>
      </w:r>
    </w:p>
    <w:p w14:paraId="1C430229" w14:textId="77777777" w:rsidR="00AE7FC0" w:rsidRPr="00616C68" w:rsidRDefault="00AE7FC0" w:rsidP="00AE7FC0">
      <w:pPr>
        <w:pStyle w:val="Kop3"/>
      </w:pPr>
      <w:bookmarkStart w:id="45" w:name="_Toc207732156"/>
      <w:r w:rsidRPr="00616C68">
        <w:t>Wanneer is sprake van een rapporterende aanbieder van cryptoactivadiensten?</w:t>
      </w:r>
      <w:bookmarkEnd w:id="45"/>
    </w:p>
    <w:p w14:paraId="51B6A421" w14:textId="77777777" w:rsidR="00AE7FC0" w:rsidRPr="00F35C61" w:rsidRDefault="00AE7FC0" w:rsidP="00AE7FC0">
      <w:pPr>
        <w:rPr>
          <w:iCs/>
          <w:szCs w:val="18"/>
        </w:rPr>
      </w:pPr>
    </w:p>
    <w:p w14:paraId="7F059C8C" w14:textId="5A8961DB" w:rsidR="004A0361" w:rsidRDefault="00AE7FC0" w:rsidP="00894DA3">
      <w:pPr>
        <w:jc w:val="both"/>
        <w:rPr>
          <w:rFonts w:cs="Verdana"/>
          <w:szCs w:val="18"/>
        </w:rPr>
      </w:pPr>
      <w:r>
        <w:rPr>
          <w:iCs/>
          <w:szCs w:val="18"/>
        </w:rPr>
        <w:t xml:space="preserve">Onder “rapporterende aanbieder van cryptoactivadiensten” wordt verstaan elke aanbieder van cryptoactivadiensten en elke exploitant van cryptoactiva die een of meer cryptoactivadiensten verricht, waarbij namens een te rapporteren gebruiker </w:t>
      </w:r>
      <w:r w:rsidR="00616C68">
        <w:rPr>
          <w:iCs/>
          <w:szCs w:val="18"/>
        </w:rPr>
        <w:t>om</w:t>
      </w:r>
      <w:r>
        <w:rPr>
          <w:iCs/>
          <w:szCs w:val="18"/>
        </w:rPr>
        <w:t>wisseltransacties worden uitgevoerd.</w:t>
      </w:r>
      <w:r w:rsidRPr="00513502">
        <w:rPr>
          <w:rStyle w:val="Voetnootmarkering"/>
          <w:iCs/>
          <w:szCs w:val="18"/>
          <w:vertAlign w:val="superscript"/>
        </w:rPr>
        <w:footnoteReference w:id="5"/>
      </w:r>
      <w:r w:rsidRPr="00513502">
        <w:rPr>
          <w:iCs/>
          <w:szCs w:val="18"/>
          <w:vertAlign w:val="superscript"/>
        </w:rPr>
        <w:t xml:space="preserve"> </w:t>
      </w:r>
      <w:r>
        <w:rPr>
          <w:iCs/>
          <w:szCs w:val="18"/>
        </w:rPr>
        <w:t xml:space="preserve">Essentieel is dus of er al dan niet </w:t>
      </w:r>
      <w:r w:rsidR="00616C68">
        <w:rPr>
          <w:iCs/>
          <w:szCs w:val="18"/>
        </w:rPr>
        <w:t>om</w:t>
      </w:r>
      <w:r>
        <w:rPr>
          <w:iCs/>
          <w:szCs w:val="18"/>
        </w:rPr>
        <w:t xml:space="preserve">wisseltransacties worden uitgevoerd. Als er geen </w:t>
      </w:r>
      <w:r w:rsidR="00616C68">
        <w:rPr>
          <w:iCs/>
          <w:szCs w:val="18"/>
        </w:rPr>
        <w:t>om</w:t>
      </w:r>
      <w:r>
        <w:rPr>
          <w:iCs/>
          <w:szCs w:val="18"/>
        </w:rPr>
        <w:t xml:space="preserve">wisseltransacties worden uitgevoerd is geen sprake van een rapporterende aanbieder en is er derhalve geen rapportageplicht. Zo voert een beleggingsfonds bijvoorbeeld geen </w:t>
      </w:r>
      <w:r w:rsidR="00616C68">
        <w:rPr>
          <w:iCs/>
          <w:szCs w:val="18"/>
        </w:rPr>
        <w:t>om</w:t>
      </w:r>
      <w:r>
        <w:rPr>
          <w:iCs/>
          <w:szCs w:val="18"/>
        </w:rPr>
        <w:t xml:space="preserve">wisseltransacties uit als deze uitsluitend in te rapporteren cryptoactiva belegt en de beleggers in het fonds niet in staat stelt om </w:t>
      </w:r>
      <w:r w:rsidR="00616C68">
        <w:rPr>
          <w:iCs/>
          <w:szCs w:val="18"/>
        </w:rPr>
        <w:t>om</w:t>
      </w:r>
      <w:r>
        <w:rPr>
          <w:iCs/>
          <w:szCs w:val="18"/>
        </w:rPr>
        <w:t>wisseltransacties uit te voeren. Zie, verder hierna hoofdstuk 4.</w:t>
      </w:r>
    </w:p>
    <w:p w14:paraId="0A3300D0" w14:textId="7A24DBEB" w:rsidR="004A0361" w:rsidRPr="00616C68" w:rsidRDefault="004A0361" w:rsidP="00D551A6">
      <w:pPr>
        <w:pStyle w:val="Kop3"/>
      </w:pPr>
      <w:bookmarkStart w:id="46" w:name="_Toc207732157"/>
      <w:r w:rsidRPr="00616C68">
        <w:t xml:space="preserve">In welk land moet aan de rapportage en </w:t>
      </w:r>
      <w:proofErr w:type="spellStart"/>
      <w:r w:rsidRPr="00616C68">
        <w:t>due</w:t>
      </w:r>
      <w:proofErr w:type="spellEnd"/>
      <w:r w:rsidRPr="00616C68">
        <w:t xml:space="preserve"> diligence verplichtingen worden voldaan?</w:t>
      </w:r>
      <w:bookmarkEnd w:id="46"/>
    </w:p>
    <w:p w14:paraId="6467F167" w14:textId="77777777" w:rsidR="004A0361" w:rsidRDefault="004A0361" w:rsidP="003F4D2F">
      <w:pPr>
        <w:spacing w:line="240" w:lineRule="atLeast"/>
        <w:rPr>
          <w:szCs w:val="22"/>
        </w:rPr>
      </w:pPr>
    </w:p>
    <w:p w14:paraId="72DFE5EA" w14:textId="16C280B3" w:rsidR="004A0361" w:rsidRDefault="004A0361" w:rsidP="00E904F0">
      <w:pPr>
        <w:spacing w:line="240" w:lineRule="atLeast"/>
        <w:jc w:val="both"/>
        <w:rPr>
          <w:szCs w:val="22"/>
        </w:rPr>
      </w:pPr>
      <w:r>
        <w:rPr>
          <w:szCs w:val="22"/>
        </w:rPr>
        <w:t xml:space="preserve">Aanbieders van cryptoactivadiensten die beschikken over een </w:t>
      </w:r>
      <w:proofErr w:type="spellStart"/>
      <w:r>
        <w:rPr>
          <w:szCs w:val="22"/>
        </w:rPr>
        <w:t>MiCA</w:t>
      </w:r>
      <w:proofErr w:type="spellEnd"/>
      <w:r w:rsidR="00A46136">
        <w:rPr>
          <w:szCs w:val="22"/>
        </w:rPr>
        <w:t>-</w:t>
      </w:r>
      <w:r>
        <w:rPr>
          <w:szCs w:val="22"/>
        </w:rPr>
        <w:t xml:space="preserve">vergunning moeten aan de rapportage- en </w:t>
      </w:r>
      <w:proofErr w:type="spellStart"/>
      <w:r>
        <w:rPr>
          <w:szCs w:val="22"/>
        </w:rPr>
        <w:t>due</w:t>
      </w:r>
      <w:proofErr w:type="spellEnd"/>
      <w:r>
        <w:rPr>
          <w:szCs w:val="22"/>
        </w:rPr>
        <w:t xml:space="preserve"> diligenceverplichtingen voldoen in het land dat de </w:t>
      </w:r>
      <w:proofErr w:type="spellStart"/>
      <w:r>
        <w:rPr>
          <w:szCs w:val="22"/>
        </w:rPr>
        <w:t>MiCA</w:t>
      </w:r>
      <w:proofErr w:type="spellEnd"/>
      <w:r w:rsidR="00A46136">
        <w:rPr>
          <w:szCs w:val="22"/>
        </w:rPr>
        <w:t>-</w:t>
      </w:r>
      <w:r>
        <w:rPr>
          <w:szCs w:val="22"/>
        </w:rPr>
        <w:t xml:space="preserve">vergunning heeft verleend. </w:t>
      </w:r>
    </w:p>
    <w:p w14:paraId="64D26A87" w14:textId="77777777" w:rsidR="004A0361" w:rsidRDefault="004A0361" w:rsidP="00E904F0">
      <w:pPr>
        <w:spacing w:line="240" w:lineRule="atLeast"/>
        <w:jc w:val="both"/>
        <w:rPr>
          <w:szCs w:val="22"/>
        </w:rPr>
      </w:pPr>
    </w:p>
    <w:p w14:paraId="0B5C8327" w14:textId="385C9D76" w:rsidR="00060FC5" w:rsidRDefault="00060FC5" w:rsidP="00E904F0">
      <w:pPr>
        <w:spacing w:line="240" w:lineRule="atLeast"/>
        <w:jc w:val="both"/>
        <w:rPr>
          <w:szCs w:val="22"/>
        </w:rPr>
      </w:pPr>
      <w:r>
        <w:rPr>
          <w:szCs w:val="22"/>
        </w:rPr>
        <w:t>Om te bepalen waar e</w:t>
      </w:r>
      <w:r w:rsidR="003F4D2F">
        <w:rPr>
          <w:szCs w:val="22"/>
        </w:rPr>
        <w:t xml:space="preserve">en exploitant </w:t>
      </w:r>
      <w:r>
        <w:rPr>
          <w:szCs w:val="22"/>
        </w:rPr>
        <w:t>aan zijn rapportage</w:t>
      </w:r>
      <w:r w:rsidR="00A46136">
        <w:rPr>
          <w:szCs w:val="22"/>
        </w:rPr>
        <w:t>-</w:t>
      </w:r>
      <w:r>
        <w:rPr>
          <w:szCs w:val="22"/>
        </w:rPr>
        <w:t xml:space="preserve"> en </w:t>
      </w:r>
      <w:proofErr w:type="spellStart"/>
      <w:r>
        <w:rPr>
          <w:szCs w:val="22"/>
        </w:rPr>
        <w:t>due</w:t>
      </w:r>
      <w:proofErr w:type="spellEnd"/>
      <w:r w:rsidR="00616C68">
        <w:rPr>
          <w:szCs w:val="22"/>
        </w:rPr>
        <w:t xml:space="preserve"> </w:t>
      </w:r>
      <w:r>
        <w:rPr>
          <w:szCs w:val="22"/>
        </w:rPr>
        <w:t>diligence</w:t>
      </w:r>
      <w:r w:rsidR="00616C68">
        <w:rPr>
          <w:szCs w:val="22"/>
        </w:rPr>
        <w:t xml:space="preserve"> </w:t>
      </w:r>
      <w:r>
        <w:rPr>
          <w:szCs w:val="22"/>
        </w:rPr>
        <w:t>verplicht</w:t>
      </w:r>
      <w:r w:rsidR="004A0361">
        <w:rPr>
          <w:szCs w:val="22"/>
        </w:rPr>
        <w:softHyphen/>
      </w:r>
      <w:r>
        <w:rPr>
          <w:szCs w:val="22"/>
        </w:rPr>
        <w:t xml:space="preserve">ingen moet voldoen dienen de zogenaamde </w:t>
      </w:r>
      <w:r w:rsidR="004A0361">
        <w:rPr>
          <w:szCs w:val="22"/>
        </w:rPr>
        <w:t>N</w:t>
      </w:r>
      <w:r>
        <w:rPr>
          <w:szCs w:val="22"/>
        </w:rPr>
        <w:t xml:space="preserve">exus-regels te worden toegepast. Om te voorkomen dat exploitanten die in meerdere </w:t>
      </w:r>
      <w:r w:rsidR="00C126ED">
        <w:rPr>
          <w:szCs w:val="22"/>
        </w:rPr>
        <w:t>(lid)</w:t>
      </w:r>
      <w:r>
        <w:rPr>
          <w:szCs w:val="22"/>
        </w:rPr>
        <w:t xml:space="preserve">staten actief zijn ook in meerdere landen moeten rapporteren kennen de </w:t>
      </w:r>
      <w:r w:rsidR="00C126ED">
        <w:rPr>
          <w:szCs w:val="22"/>
        </w:rPr>
        <w:t>N</w:t>
      </w:r>
      <w:r>
        <w:rPr>
          <w:szCs w:val="22"/>
        </w:rPr>
        <w:t xml:space="preserve">exus-bepalingen een </w:t>
      </w:r>
      <w:r w:rsidR="00C126ED">
        <w:rPr>
          <w:szCs w:val="22"/>
        </w:rPr>
        <w:t>hiërarchie</w:t>
      </w:r>
      <w:r>
        <w:rPr>
          <w:szCs w:val="22"/>
        </w:rPr>
        <w:t>. De hoogste ‘</w:t>
      </w:r>
      <w:proofErr w:type="spellStart"/>
      <w:r>
        <w:rPr>
          <w:szCs w:val="22"/>
        </w:rPr>
        <w:t>nexus</w:t>
      </w:r>
      <w:proofErr w:type="spellEnd"/>
      <w:r>
        <w:rPr>
          <w:szCs w:val="22"/>
        </w:rPr>
        <w:t xml:space="preserve">’ wordt gevormd door de (lid)staat waar de exploitant zijn fiscale vestigingsplaats heeft. Als dit niet Nederland is, heeft de exploitant geen rapportageplicht in Nederland, maar in de staat waar de </w:t>
      </w:r>
      <w:r w:rsidR="005C3B51">
        <w:rPr>
          <w:szCs w:val="22"/>
        </w:rPr>
        <w:t>exploitant</w:t>
      </w:r>
      <w:r>
        <w:rPr>
          <w:szCs w:val="22"/>
        </w:rPr>
        <w:t xml:space="preserve"> wel zijn fiscale vestigingsplaats heeft.</w:t>
      </w:r>
      <w:r w:rsidR="005C3B51">
        <w:rPr>
          <w:szCs w:val="22"/>
        </w:rPr>
        <w:t xml:space="preserve"> </w:t>
      </w:r>
    </w:p>
    <w:p w14:paraId="72314DE4" w14:textId="77777777" w:rsidR="00060FC5" w:rsidRDefault="00060FC5" w:rsidP="003F4D2F">
      <w:pPr>
        <w:spacing w:line="240" w:lineRule="atLeast"/>
        <w:rPr>
          <w:szCs w:val="22"/>
        </w:rPr>
      </w:pPr>
    </w:p>
    <w:p w14:paraId="3255552F" w14:textId="13331BA8" w:rsidR="007F293C" w:rsidRDefault="007F293C" w:rsidP="007F293C">
      <w:pPr>
        <w:autoSpaceDE w:val="0"/>
        <w:autoSpaceDN w:val="0"/>
        <w:adjustRightInd w:val="0"/>
        <w:jc w:val="both"/>
        <w:rPr>
          <w:rFonts w:cs="Verdana"/>
          <w:szCs w:val="18"/>
        </w:rPr>
      </w:pPr>
      <w:r>
        <w:rPr>
          <w:rFonts w:cs="Verdana"/>
          <w:szCs w:val="18"/>
        </w:rPr>
        <w:t>De Nexus bepalingen zijn (in hiërarchische volgorde) als volgt:</w:t>
      </w:r>
    </w:p>
    <w:p w14:paraId="0EB1A912" w14:textId="77777777" w:rsidR="007F293C" w:rsidRDefault="007F293C" w:rsidP="007F293C">
      <w:pPr>
        <w:autoSpaceDE w:val="0"/>
        <w:autoSpaceDN w:val="0"/>
        <w:adjustRightInd w:val="0"/>
        <w:jc w:val="both"/>
        <w:rPr>
          <w:rFonts w:cs="Verdana"/>
          <w:szCs w:val="18"/>
        </w:rPr>
      </w:pPr>
    </w:p>
    <w:p w14:paraId="50AFC578" w14:textId="77777777" w:rsidR="007F293C" w:rsidRDefault="007F293C" w:rsidP="007F293C">
      <w:pPr>
        <w:pStyle w:val="Lijstalinea"/>
        <w:numPr>
          <w:ilvl w:val="0"/>
          <w:numId w:val="21"/>
        </w:numPr>
        <w:autoSpaceDE w:val="0"/>
        <w:autoSpaceDN w:val="0"/>
        <w:adjustRightInd w:val="0"/>
        <w:jc w:val="both"/>
        <w:rPr>
          <w:rFonts w:cs="Verdana"/>
          <w:szCs w:val="18"/>
        </w:rPr>
      </w:pPr>
      <w:r>
        <w:rPr>
          <w:rFonts w:cs="Verdana"/>
          <w:szCs w:val="18"/>
        </w:rPr>
        <w:t>een Entiteit of natuurlijk persoon die een fiscaal ingezetene van de lidstaat of andere staat is;</w:t>
      </w:r>
    </w:p>
    <w:p w14:paraId="023773B3" w14:textId="77777777" w:rsidR="007F293C" w:rsidRDefault="007F293C" w:rsidP="007F293C">
      <w:pPr>
        <w:pStyle w:val="Lijstalinea"/>
        <w:numPr>
          <w:ilvl w:val="0"/>
          <w:numId w:val="21"/>
        </w:numPr>
        <w:autoSpaceDE w:val="0"/>
        <w:autoSpaceDN w:val="0"/>
        <w:adjustRightInd w:val="0"/>
        <w:jc w:val="both"/>
        <w:rPr>
          <w:rFonts w:cs="Verdana"/>
          <w:szCs w:val="18"/>
        </w:rPr>
      </w:pPr>
      <w:r>
        <w:rPr>
          <w:rFonts w:cs="Verdana"/>
          <w:szCs w:val="18"/>
        </w:rPr>
        <w:t>een Entiteit die i) is opgericht of georganiseerd naar het recht van een (lid)staat en ii) rechtspersoonlijkheid heeft in een (lid)staat of verplicht is belastingaangiften te doen of aangiften met fiscale inlichtingen in te dienen bij de belastingautoriteiten van een (lid)staat met betrekking tot de inkomsten van de Entiteit.</w:t>
      </w:r>
    </w:p>
    <w:p w14:paraId="245E4B1B" w14:textId="77777777" w:rsidR="007F293C" w:rsidRDefault="007F293C" w:rsidP="007F293C">
      <w:pPr>
        <w:pStyle w:val="Lijstalinea"/>
        <w:numPr>
          <w:ilvl w:val="0"/>
          <w:numId w:val="21"/>
        </w:numPr>
        <w:autoSpaceDE w:val="0"/>
        <w:autoSpaceDN w:val="0"/>
        <w:adjustRightInd w:val="0"/>
        <w:jc w:val="both"/>
        <w:rPr>
          <w:rFonts w:cs="Verdana"/>
          <w:szCs w:val="18"/>
        </w:rPr>
      </w:pPr>
      <w:r>
        <w:rPr>
          <w:rFonts w:cs="Verdana"/>
          <w:szCs w:val="18"/>
        </w:rPr>
        <w:t>een Entiteit is die wordt beheerd vanuit een (lid)staat, of</w:t>
      </w:r>
    </w:p>
    <w:p w14:paraId="507423AD" w14:textId="77777777" w:rsidR="007F293C" w:rsidRPr="00796AEE" w:rsidRDefault="007F293C" w:rsidP="007F293C">
      <w:pPr>
        <w:pStyle w:val="Lijstalinea"/>
        <w:numPr>
          <w:ilvl w:val="0"/>
          <w:numId w:val="21"/>
        </w:numPr>
        <w:autoSpaceDE w:val="0"/>
        <w:autoSpaceDN w:val="0"/>
        <w:adjustRightInd w:val="0"/>
        <w:jc w:val="both"/>
        <w:rPr>
          <w:rFonts w:cs="Verdana"/>
          <w:szCs w:val="18"/>
        </w:rPr>
      </w:pPr>
      <w:r>
        <w:rPr>
          <w:rFonts w:cs="Verdana"/>
          <w:szCs w:val="18"/>
        </w:rPr>
        <w:t>een Entiteit of natuurlijke persoon is met een reguliere bedrijfszetel in een (lid)staat.</w:t>
      </w:r>
    </w:p>
    <w:p w14:paraId="12897EAA" w14:textId="77777777" w:rsidR="007F293C" w:rsidRDefault="007F293C" w:rsidP="007F293C">
      <w:pPr>
        <w:autoSpaceDE w:val="0"/>
        <w:autoSpaceDN w:val="0"/>
        <w:adjustRightInd w:val="0"/>
        <w:rPr>
          <w:rFonts w:cs="Verdana"/>
          <w:szCs w:val="18"/>
        </w:rPr>
      </w:pPr>
    </w:p>
    <w:p w14:paraId="19A6E059" w14:textId="10A81443" w:rsidR="00A551E8" w:rsidRDefault="00A551E8" w:rsidP="00A551E8">
      <w:pPr>
        <w:pStyle w:val="Kop3"/>
        <w:rPr>
          <w:rFonts w:cs="Verdana"/>
          <w:iCs/>
          <w:szCs w:val="18"/>
        </w:rPr>
      </w:pPr>
      <w:bookmarkStart w:id="47" w:name="_Toc207732158"/>
      <w:r w:rsidRPr="00A551E8">
        <w:t>Transacties uitgevoerd via een bijkantoor</w:t>
      </w:r>
      <w:bookmarkEnd w:id="47"/>
      <w:r>
        <w:rPr>
          <w:rFonts w:cs="Verdana"/>
          <w:iCs/>
          <w:szCs w:val="18"/>
        </w:rPr>
        <w:t xml:space="preserve"> </w:t>
      </w:r>
    </w:p>
    <w:p w14:paraId="7A002950" w14:textId="058F7E81" w:rsidR="00A551E8" w:rsidRPr="00A551E8" w:rsidRDefault="00A551E8" w:rsidP="00BF0F30">
      <w:pPr>
        <w:autoSpaceDE w:val="0"/>
        <w:autoSpaceDN w:val="0"/>
        <w:adjustRightInd w:val="0"/>
        <w:jc w:val="both"/>
        <w:rPr>
          <w:szCs w:val="22"/>
        </w:rPr>
      </w:pPr>
      <w:r>
        <w:rPr>
          <w:rFonts w:cs="Verdana"/>
          <w:szCs w:val="18"/>
        </w:rPr>
        <w:br/>
      </w:r>
      <w:r w:rsidR="007F293C">
        <w:rPr>
          <w:szCs w:val="22"/>
        </w:rPr>
        <w:t>Een</w:t>
      </w:r>
      <w:r w:rsidR="007F293C" w:rsidRPr="007F2885">
        <w:rPr>
          <w:szCs w:val="22"/>
        </w:rPr>
        <w:t xml:space="preserve"> rapporterende aanbieder van cryptoactivadiensten </w:t>
      </w:r>
      <w:r w:rsidRPr="00A551E8">
        <w:rPr>
          <w:szCs w:val="22"/>
        </w:rPr>
        <w:t xml:space="preserve">is in een lidstaat onderworpen aan de rapportage- en </w:t>
      </w:r>
      <w:proofErr w:type="spellStart"/>
      <w:r w:rsidRPr="00A551E8">
        <w:rPr>
          <w:szCs w:val="22"/>
        </w:rPr>
        <w:t>due</w:t>
      </w:r>
      <w:proofErr w:type="spellEnd"/>
      <w:r w:rsidRPr="00A551E8">
        <w:rPr>
          <w:szCs w:val="22"/>
        </w:rPr>
        <w:t xml:space="preserve"> diligence</w:t>
      </w:r>
      <w:r>
        <w:rPr>
          <w:szCs w:val="22"/>
        </w:rPr>
        <w:t xml:space="preserve"> </w:t>
      </w:r>
      <w:r w:rsidRPr="00A551E8">
        <w:rPr>
          <w:szCs w:val="22"/>
        </w:rPr>
        <w:t xml:space="preserve">verplichtingen met betrekking tot de </w:t>
      </w:r>
      <w:r>
        <w:rPr>
          <w:szCs w:val="22"/>
        </w:rPr>
        <w:t>t</w:t>
      </w:r>
      <w:r w:rsidRPr="00A551E8">
        <w:rPr>
          <w:szCs w:val="22"/>
        </w:rPr>
        <w:t xml:space="preserve">e rapporteren transacties die zijn uitgevoerd via een </w:t>
      </w:r>
      <w:r>
        <w:rPr>
          <w:szCs w:val="22"/>
        </w:rPr>
        <w:t>b</w:t>
      </w:r>
      <w:r w:rsidRPr="00A551E8">
        <w:rPr>
          <w:szCs w:val="22"/>
        </w:rPr>
        <w:t>ijkantoor d</w:t>
      </w:r>
      <w:r w:rsidR="00BF0F30">
        <w:rPr>
          <w:szCs w:val="22"/>
        </w:rPr>
        <w:t>at</w:t>
      </w:r>
      <w:r w:rsidRPr="00A551E8">
        <w:rPr>
          <w:szCs w:val="22"/>
        </w:rPr>
        <w:t xml:space="preserve"> in </w:t>
      </w:r>
      <w:r w:rsidR="00BF0F30">
        <w:rPr>
          <w:szCs w:val="22"/>
        </w:rPr>
        <w:t>die</w:t>
      </w:r>
      <w:r w:rsidR="00BF0F30" w:rsidRPr="00A551E8">
        <w:rPr>
          <w:szCs w:val="22"/>
        </w:rPr>
        <w:t xml:space="preserve"> </w:t>
      </w:r>
      <w:r w:rsidRPr="00A551E8">
        <w:rPr>
          <w:szCs w:val="22"/>
        </w:rPr>
        <w:t>lidstaat is gevestigd.</w:t>
      </w:r>
      <w:r>
        <w:rPr>
          <w:szCs w:val="22"/>
        </w:rPr>
        <w:t xml:space="preserve"> Dit</w:t>
      </w:r>
      <w:r w:rsidRPr="00A551E8">
        <w:rPr>
          <w:szCs w:val="22"/>
        </w:rPr>
        <w:t xml:space="preserve"> is </w:t>
      </w:r>
      <w:r>
        <w:rPr>
          <w:szCs w:val="22"/>
        </w:rPr>
        <w:t xml:space="preserve">enkel </w:t>
      </w:r>
      <w:r w:rsidRPr="00A551E8">
        <w:rPr>
          <w:szCs w:val="22"/>
        </w:rPr>
        <w:t xml:space="preserve">niet verplicht indien dat Bijkantoor die verplichtingen vervult in die lidstaat of dat </w:t>
      </w:r>
      <w:r w:rsidR="00BF0F30">
        <w:rPr>
          <w:szCs w:val="22"/>
        </w:rPr>
        <w:t>g</w:t>
      </w:r>
      <w:r w:rsidRPr="00A551E8">
        <w:rPr>
          <w:szCs w:val="22"/>
        </w:rPr>
        <w:t>ekwalificeerd niet-Unierechtsgebied.</w:t>
      </w:r>
    </w:p>
    <w:p w14:paraId="1AB48FA8" w14:textId="77777777" w:rsidR="009E4462" w:rsidRDefault="009E4462" w:rsidP="00B032A2">
      <w:pPr>
        <w:autoSpaceDE w:val="0"/>
        <w:autoSpaceDN w:val="0"/>
        <w:adjustRightInd w:val="0"/>
        <w:jc w:val="both"/>
        <w:rPr>
          <w:rFonts w:cs="Verdana"/>
          <w:szCs w:val="18"/>
        </w:rPr>
      </w:pPr>
    </w:p>
    <w:p w14:paraId="5582E5F6" w14:textId="72860682" w:rsidR="00926E84" w:rsidRDefault="00A551E8" w:rsidP="00B032A2">
      <w:pPr>
        <w:autoSpaceDE w:val="0"/>
        <w:autoSpaceDN w:val="0"/>
        <w:adjustRightInd w:val="0"/>
        <w:jc w:val="both"/>
        <w:rPr>
          <w:rFonts w:cs="Verdana"/>
          <w:szCs w:val="18"/>
        </w:rPr>
      </w:pPr>
      <w:r>
        <w:rPr>
          <w:rFonts w:cs="Verdana"/>
          <w:szCs w:val="18"/>
        </w:rPr>
        <w:t>V</w:t>
      </w:r>
      <w:r w:rsidR="00585767">
        <w:rPr>
          <w:rFonts w:cs="Verdana"/>
          <w:szCs w:val="18"/>
        </w:rPr>
        <w:t xml:space="preserve">oor transacties van een buitenlandse aanbieder van cryptoactivadiensten die worden </w:t>
      </w:r>
      <w:r w:rsidR="00926E84">
        <w:rPr>
          <w:rFonts w:cs="Verdana"/>
          <w:szCs w:val="18"/>
        </w:rPr>
        <w:t xml:space="preserve">uitgevoerd via een bijkantoor in Nederland, geldt </w:t>
      </w:r>
      <w:r w:rsidR="00A43162">
        <w:rPr>
          <w:rFonts w:cs="Verdana"/>
          <w:szCs w:val="18"/>
        </w:rPr>
        <w:t xml:space="preserve">derhalve </w:t>
      </w:r>
      <w:r w:rsidR="00926E84">
        <w:rPr>
          <w:rFonts w:cs="Verdana"/>
          <w:szCs w:val="18"/>
        </w:rPr>
        <w:t xml:space="preserve">een rapportageplicht </w:t>
      </w:r>
      <w:r w:rsidR="00585767">
        <w:rPr>
          <w:rFonts w:cs="Verdana"/>
          <w:szCs w:val="18"/>
        </w:rPr>
        <w:t xml:space="preserve">in Nederland. </w:t>
      </w:r>
    </w:p>
    <w:p w14:paraId="2FE7C75E" w14:textId="443B6E2C" w:rsidR="00B66A66" w:rsidRPr="00386E3F" w:rsidRDefault="00B66A66" w:rsidP="00B66A66">
      <w:pPr>
        <w:pStyle w:val="Kop1"/>
      </w:pPr>
      <w:bookmarkStart w:id="48" w:name="_Toc333225170"/>
      <w:bookmarkStart w:id="49" w:name="_Ref357596998"/>
      <w:bookmarkStart w:id="50" w:name="_Toc444590541"/>
      <w:bookmarkStart w:id="51" w:name="_Toc449610390"/>
      <w:bookmarkStart w:id="52" w:name="_Toc207732159"/>
      <w:bookmarkStart w:id="53" w:name="_Toc333225202"/>
      <w:r w:rsidRPr="00386E3F">
        <w:lastRenderedPageBreak/>
        <w:t>Object gegevensaanlevering</w:t>
      </w:r>
      <w:bookmarkEnd w:id="48"/>
      <w:bookmarkEnd w:id="49"/>
      <w:bookmarkEnd w:id="50"/>
      <w:bookmarkEnd w:id="51"/>
      <w:bookmarkEnd w:id="52"/>
    </w:p>
    <w:p w14:paraId="4898352A" w14:textId="24A869A9" w:rsidR="007123C3" w:rsidRDefault="00B66A66" w:rsidP="00616C68">
      <w:pPr>
        <w:jc w:val="both"/>
        <w:rPr>
          <w:rFonts w:cs="ArialUnicodeMS_PDF_Subset"/>
          <w:szCs w:val="18"/>
        </w:rPr>
      </w:pPr>
      <w:r w:rsidRPr="00386E3F">
        <w:t xml:space="preserve">Dit hoofdstuk richt zich op algemene informatie over de </w:t>
      </w:r>
      <w:r w:rsidR="009D57C4">
        <w:t xml:space="preserve">te rapporteren informatie die </w:t>
      </w:r>
      <w:r w:rsidR="002273B6">
        <w:t xml:space="preserve">Nederlandse </w:t>
      </w:r>
      <w:r w:rsidR="009D57C4">
        <w:t>rapport</w:t>
      </w:r>
      <w:r w:rsidR="00996C8C">
        <w:t>e</w:t>
      </w:r>
      <w:r w:rsidR="009D57C4">
        <w:t xml:space="preserve">rende aanbieders van cryptoactivadiensten </w:t>
      </w:r>
      <w:r w:rsidR="002273B6">
        <w:t xml:space="preserve">moeten aanleveren en de </w:t>
      </w:r>
      <w:r w:rsidRPr="00386E3F">
        <w:t>samenstelling erva</w:t>
      </w:r>
      <w:r w:rsidR="009D57C4">
        <w:t>n</w:t>
      </w:r>
      <w:r w:rsidR="00E46B00">
        <w:t>.</w:t>
      </w:r>
    </w:p>
    <w:p w14:paraId="48551922" w14:textId="19606344" w:rsidR="00F12712" w:rsidRPr="0048798C" w:rsidRDefault="00F12712" w:rsidP="00F12712">
      <w:pPr>
        <w:pStyle w:val="Kop2"/>
        <w:rPr>
          <w:b w:val="0"/>
          <w:bCs/>
          <w:i/>
          <w:iCs w:val="0"/>
        </w:rPr>
      </w:pPr>
      <w:bookmarkStart w:id="54" w:name="_Toc207732160"/>
      <w:r w:rsidRPr="0048798C">
        <w:rPr>
          <w:b w:val="0"/>
          <w:bCs/>
          <w:i/>
          <w:iCs w:val="0"/>
        </w:rPr>
        <w:t>Wanneer heeft</w:t>
      </w:r>
      <w:r w:rsidR="0048798C">
        <w:rPr>
          <w:b w:val="0"/>
          <w:bCs/>
          <w:i/>
          <w:iCs w:val="0"/>
        </w:rPr>
        <w:t xml:space="preserve"> een</w:t>
      </w:r>
      <w:r w:rsidRPr="0048798C">
        <w:rPr>
          <w:b w:val="0"/>
          <w:bCs/>
          <w:i/>
          <w:iCs w:val="0"/>
        </w:rPr>
        <w:t xml:space="preserve"> aanbieder</w:t>
      </w:r>
      <w:r w:rsidR="0048798C">
        <w:rPr>
          <w:b w:val="0"/>
          <w:bCs/>
          <w:i/>
          <w:iCs w:val="0"/>
        </w:rPr>
        <w:t xml:space="preserve"> van cryptoactivadiensten</w:t>
      </w:r>
      <w:r w:rsidRPr="0048798C">
        <w:rPr>
          <w:b w:val="0"/>
          <w:bCs/>
          <w:i/>
          <w:iCs w:val="0"/>
        </w:rPr>
        <w:t xml:space="preserve"> een rapportageplicht</w:t>
      </w:r>
      <w:r w:rsidR="0048798C">
        <w:rPr>
          <w:b w:val="0"/>
          <w:bCs/>
          <w:i/>
          <w:iCs w:val="0"/>
        </w:rPr>
        <w:t>?</w:t>
      </w:r>
      <w:bookmarkEnd w:id="54"/>
    </w:p>
    <w:p w14:paraId="56694690" w14:textId="77777777" w:rsidR="0048798C" w:rsidRDefault="0048798C" w:rsidP="00B66A66">
      <w:pPr>
        <w:rPr>
          <w:rFonts w:cs="ArialUnicodeMS_PDF_Subset"/>
          <w:szCs w:val="18"/>
        </w:rPr>
      </w:pPr>
    </w:p>
    <w:p w14:paraId="6B287EE7" w14:textId="16BF4AEF" w:rsidR="00D34E80" w:rsidRDefault="007123C3" w:rsidP="00A43162">
      <w:pPr>
        <w:jc w:val="both"/>
        <w:rPr>
          <w:rFonts w:cs="ArialUnicodeMS_PDF_Subset"/>
          <w:szCs w:val="18"/>
          <w:lang w:val="de-DE"/>
        </w:rPr>
      </w:pPr>
      <w:r>
        <w:rPr>
          <w:rFonts w:cs="ArialUnicodeMS_PDF_Subset"/>
          <w:szCs w:val="18"/>
        </w:rPr>
        <w:t>Indien door de aanbieder van cryptoactivadiensten of een exploitant van cryptoactiva is vastgesteld dat</w:t>
      </w:r>
      <w:r w:rsidR="005769BD">
        <w:rPr>
          <w:rFonts w:cs="ArialUnicodeMS_PDF_Subset"/>
          <w:szCs w:val="18"/>
        </w:rPr>
        <w:t xml:space="preserve"> namens een gebruiker sprake is van </w:t>
      </w:r>
      <w:r w:rsidR="00260E06">
        <w:rPr>
          <w:rFonts w:cs="ArialUnicodeMS_PDF_Subset"/>
          <w:szCs w:val="18"/>
        </w:rPr>
        <w:t>he</w:t>
      </w:r>
      <w:r w:rsidR="00ED0B74">
        <w:rPr>
          <w:rFonts w:cs="ArialUnicodeMS_PDF_Subset"/>
          <w:szCs w:val="18"/>
        </w:rPr>
        <w:t>t</w:t>
      </w:r>
      <w:r w:rsidR="00260E06">
        <w:rPr>
          <w:rFonts w:cs="ArialUnicodeMS_PDF_Subset"/>
          <w:szCs w:val="18"/>
        </w:rPr>
        <w:t xml:space="preserve"> uitvoeren van een </w:t>
      </w:r>
      <w:r w:rsidR="00463342">
        <w:rPr>
          <w:rFonts w:cs="ArialUnicodeMS_PDF_Subset"/>
          <w:szCs w:val="18"/>
        </w:rPr>
        <w:t>om</w:t>
      </w:r>
      <w:r w:rsidR="005769BD">
        <w:rPr>
          <w:rFonts w:cs="ArialUnicodeMS_PDF_Subset"/>
          <w:szCs w:val="18"/>
        </w:rPr>
        <w:t>wisseltransactie</w:t>
      </w:r>
      <w:r w:rsidR="00260E06">
        <w:rPr>
          <w:rFonts w:cs="ArialUnicodeMS_PDF_Subset"/>
          <w:szCs w:val="18"/>
        </w:rPr>
        <w:t>,</w:t>
      </w:r>
      <w:r w:rsidR="005769BD">
        <w:rPr>
          <w:rFonts w:cs="ArialUnicodeMS_PDF_Subset"/>
          <w:szCs w:val="18"/>
        </w:rPr>
        <w:t xml:space="preserve"> heeft die aanbieder of exploitant een rapportageplicht. In het geval er geen sprake is van </w:t>
      </w:r>
      <w:r w:rsidR="00247981">
        <w:rPr>
          <w:rFonts w:cs="ArialUnicodeMS_PDF_Subset"/>
          <w:szCs w:val="18"/>
        </w:rPr>
        <w:t xml:space="preserve">activiteiten die er toe leiden </w:t>
      </w:r>
      <w:r w:rsidR="00800FB3">
        <w:rPr>
          <w:rFonts w:cs="ArialUnicodeMS_PDF_Subset"/>
          <w:szCs w:val="18"/>
        </w:rPr>
        <w:t>dat</w:t>
      </w:r>
      <w:r w:rsidR="005769BD">
        <w:rPr>
          <w:rFonts w:cs="ArialUnicodeMS_PDF_Subset"/>
          <w:szCs w:val="18"/>
        </w:rPr>
        <w:t xml:space="preserve"> </w:t>
      </w:r>
      <w:r w:rsidR="00463342">
        <w:rPr>
          <w:rFonts w:cs="ArialUnicodeMS_PDF_Subset"/>
          <w:szCs w:val="18"/>
        </w:rPr>
        <w:t>om</w:t>
      </w:r>
      <w:r w:rsidR="005769BD">
        <w:rPr>
          <w:rFonts w:cs="ArialUnicodeMS_PDF_Subset"/>
          <w:szCs w:val="18"/>
        </w:rPr>
        <w:t>wisseltransactie</w:t>
      </w:r>
      <w:r w:rsidR="004255B7">
        <w:rPr>
          <w:rFonts w:cs="ArialUnicodeMS_PDF_Subset"/>
          <w:szCs w:val="18"/>
        </w:rPr>
        <w:t>s</w:t>
      </w:r>
      <w:r w:rsidR="005769BD">
        <w:rPr>
          <w:rFonts w:cs="ArialUnicodeMS_PDF_Subset"/>
          <w:szCs w:val="18"/>
        </w:rPr>
        <w:t xml:space="preserve"> </w:t>
      </w:r>
      <w:r w:rsidR="00800FB3">
        <w:rPr>
          <w:rFonts w:cs="ArialUnicodeMS_PDF_Subset"/>
          <w:szCs w:val="18"/>
        </w:rPr>
        <w:t xml:space="preserve">ten behoeve van klanten worden uitgevoerd </w:t>
      </w:r>
      <w:r w:rsidR="005769BD">
        <w:rPr>
          <w:rFonts w:cs="ArialUnicodeMS_PDF_Subset"/>
          <w:szCs w:val="18"/>
        </w:rPr>
        <w:t xml:space="preserve">is er geen rapportageplicht. </w:t>
      </w:r>
      <w:r w:rsidR="00800FB3">
        <w:rPr>
          <w:rFonts w:cs="ArialUnicodeMS_PDF_Subset"/>
          <w:szCs w:val="18"/>
          <w:lang w:val="de-DE"/>
        </w:rPr>
        <w:t>H</w:t>
      </w:r>
      <w:r w:rsidR="00247981" w:rsidRPr="00247981">
        <w:rPr>
          <w:rFonts w:cs="ArialUnicodeMS_PDF_Subset"/>
          <w:szCs w:val="18"/>
          <w:lang w:val="de-DE"/>
        </w:rPr>
        <w:t xml:space="preserve">et </w:t>
      </w:r>
      <w:proofErr w:type="spellStart"/>
      <w:r w:rsidR="00247981" w:rsidRPr="00247981">
        <w:rPr>
          <w:rFonts w:cs="ArialUnicodeMS_PDF_Subset"/>
          <w:szCs w:val="18"/>
          <w:lang w:val="de-DE"/>
        </w:rPr>
        <w:t>beslissende</w:t>
      </w:r>
      <w:proofErr w:type="spellEnd"/>
      <w:r w:rsidR="00247981" w:rsidRPr="00247981">
        <w:rPr>
          <w:rFonts w:cs="ArialUnicodeMS_PDF_Subset"/>
          <w:szCs w:val="18"/>
          <w:lang w:val="de-DE"/>
        </w:rPr>
        <w:t xml:space="preserve"> </w:t>
      </w:r>
      <w:proofErr w:type="spellStart"/>
      <w:r w:rsidR="00247981">
        <w:rPr>
          <w:rFonts w:cs="ArialUnicodeMS_PDF_Subset"/>
          <w:szCs w:val="18"/>
          <w:lang w:val="de-DE"/>
        </w:rPr>
        <w:t>criterium</w:t>
      </w:r>
      <w:proofErr w:type="spellEnd"/>
      <w:r w:rsidR="00247981">
        <w:rPr>
          <w:rFonts w:cs="ArialUnicodeMS_PDF_Subset"/>
          <w:szCs w:val="18"/>
          <w:lang w:val="de-DE"/>
        </w:rPr>
        <w:t xml:space="preserve"> </w:t>
      </w:r>
      <w:proofErr w:type="spellStart"/>
      <w:r w:rsidR="00247981">
        <w:rPr>
          <w:rFonts w:cs="ArialUnicodeMS_PDF_Subset"/>
          <w:szCs w:val="18"/>
          <w:lang w:val="de-DE"/>
        </w:rPr>
        <w:t>hierbij</w:t>
      </w:r>
      <w:proofErr w:type="spellEnd"/>
      <w:r w:rsidR="00247981">
        <w:rPr>
          <w:rFonts w:cs="ArialUnicodeMS_PDF_Subset"/>
          <w:szCs w:val="18"/>
          <w:lang w:val="de-DE"/>
        </w:rPr>
        <w:t xml:space="preserve"> </w:t>
      </w:r>
      <w:proofErr w:type="spellStart"/>
      <w:r w:rsidR="00247981">
        <w:rPr>
          <w:rFonts w:cs="ArialUnicodeMS_PDF_Subset"/>
          <w:szCs w:val="18"/>
          <w:lang w:val="de-DE"/>
        </w:rPr>
        <w:t>is</w:t>
      </w:r>
      <w:proofErr w:type="spellEnd"/>
      <w:r w:rsidR="00247981" w:rsidRPr="00247981">
        <w:rPr>
          <w:rFonts w:cs="ArialUnicodeMS_PDF_Subset"/>
          <w:szCs w:val="18"/>
          <w:lang w:val="de-DE"/>
        </w:rPr>
        <w:t xml:space="preserve"> de </w:t>
      </w:r>
      <w:proofErr w:type="spellStart"/>
      <w:r w:rsidR="00247981" w:rsidRPr="00247981">
        <w:rPr>
          <w:rFonts w:cs="ArialUnicodeMS_PDF_Subset"/>
          <w:szCs w:val="18"/>
          <w:lang w:val="de-DE"/>
        </w:rPr>
        <w:t>vraag</w:t>
      </w:r>
      <w:proofErr w:type="spellEnd"/>
      <w:r w:rsidR="00247981" w:rsidRPr="00247981">
        <w:rPr>
          <w:rFonts w:cs="ArialUnicodeMS_PDF_Subset"/>
          <w:szCs w:val="18"/>
          <w:lang w:val="de-DE"/>
        </w:rPr>
        <w:t xml:space="preserve"> </w:t>
      </w:r>
      <w:proofErr w:type="spellStart"/>
      <w:r w:rsidR="00247981" w:rsidRPr="00247981">
        <w:rPr>
          <w:rFonts w:cs="ArialUnicodeMS_PDF_Subset"/>
          <w:szCs w:val="18"/>
          <w:lang w:val="de-DE"/>
        </w:rPr>
        <w:t>of</w:t>
      </w:r>
      <w:proofErr w:type="spellEnd"/>
      <w:r w:rsidR="00247981" w:rsidRPr="00247981">
        <w:rPr>
          <w:rFonts w:cs="ArialUnicodeMS_PDF_Subset"/>
          <w:szCs w:val="18"/>
          <w:lang w:val="de-DE"/>
        </w:rPr>
        <w:t xml:space="preserve"> de dienst </w:t>
      </w:r>
      <w:r w:rsidR="00247981">
        <w:rPr>
          <w:rFonts w:cs="ArialUnicodeMS_PDF_Subset"/>
          <w:szCs w:val="18"/>
          <w:lang w:val="de-DE"/>
        </w:rPr>
        <w:t xml:space="preserve">die </w:t>
      </w:r>
      <w:proofErr w:type="spellStart"/>
      <w:r w:rsidR="00247981">
        <w:rPr>
          <w:rFonts w:cs="ArialUnicodeMS_PDF_Subset"/>
          <w:szCs w:val="18"/>
          <w:lang w:val="de-DE"/>
        </w:rPr>
        <w:t>wordt</w:t>
      </w:r>
      <w:proofErr w:type="spellEnd"/>
      <w:r w:rsidR="00247981">
        <w:rPr>
          <w:rFonts w:cs="ArialUnicodeMS_PDF_Subset"/>
          <w:szCs w:val="18"/>
          <w:lang w:val="de-DE"/>
        </w:rPr>
        <w:t xml:space="preserve"> </w:t>
      </w:r>
      <w:proofErr w:type="spellStart"/>
      <w:r w:rsidR="00247981">
        <w:rPr>
          <w:rFonts w:cs="ArialUnicodeMS_PDF_Subset"/>
          <w:szCs w:val="18"/>
          <w:lang w:val="de-DE"/>
        </w:rPr>
        <w:t>aangeboden</w:t>
      </w:r>
      <w:proofErr w:type="spellEnd"/>
      <w:r w:rsidR="00247981">
        <w:rPr>
          <w:rFonts w:cs="ArialUnicodeMS_PDF_Subset"/>
          <w:szCs w:val="18"/>
          <w:lang w:val="de-DE"/>
        </w:rPr>
        <w:t xml:space="preserve"> </w:t>
      </w:r>
      <w:proofErr w:type="spellStart"/>
      <w:r w:rsidR="00247981" w:rsidRPr="00247981">
        <w:rPr>
          <w:rFonts w:cs="ArialUnicodeMS_PDF_Subset"/>
          <w:szCs w:val="18"/>
          <w:lang w:val="de-DE"/>
        </w:rPr>
        <w:t>volgens</w:t>
      </w:r>
      <w:proofErr w:type="spellEnd"/>
      <w:r w:rsidR="00247981" w:rsidRPr="00247981">
        <w:rPr>
          <w:rFonts w:cs="ArialUnicodeMS_PDF_Subset"/>
          <w:szCs w:val="18"/>
          <w:lang w:val="de-DE"/>
        </w:rPr>
        <w:t xml:space="preserve"> de CARF de </w:t>
      </w:r>
      <w:proofErr w:type="spellStart"/>
      <w:r w:rsidR="00247981" w:rsidRPr="00247981">
        <w:rPr>
          <w:rFonts w:cs="ArialUnicodeMS_PDF_Subset"/>
          <w:szCs w:val="18"/>
          <w:lang w:val="de-DE"/>
        </w:rPr>
        <w:t>test</w:t>
      </w:r>
      <w:proofErr w:type="spellEnd"/>
      <w:r w:rsidR="00247981" w:rsidRPr="00247981">
        <w:rPr>
          <w:rFonts w:cs="ArialUnicodeMS_PDF_Subset"/>
          <w:szCs w:val="18"/>
          <w:lang w:val="de-DE"/>
        </w:rPr>
        <w:t xml:space="preserve"> van „</w:t>
      </w:r>
      <w:proofErr w:type="spellStart"/>
      <w:r w:rsidR="00247981" w:rsidRPr="00247981">
        <w:rPr>
          <w:rFonts w:cs="ArialUnicodeMS_PDF_Subset"/>
          <w:szCs w:val="18"/>
          <w:lang w:val="de-DE"/>
        </w:rPr>
        <w:t>effectuating</w:t>
      </w:r>
      <w:proofErr w:type="spellEnd"/>
      <w:r w:rsidR="00247981" w:rsidRPr="00247981">
        <w:rPr>
          <w:rFonts w:cs="ArialUnicodeMS_PDF_Subset"/>
          <w:szCs w:val="18"/>
          <w:lang w:val="de-DE"/>
        </w:rPr>
        <w:t xml:space="preserve"> an Exchange Transaction“ </w:t>
      </w:r>
      <w:proofErr w:type="spellStart"/>
      <w:r w:rsidR="00247981" w:rsidRPr="00247981">
        <w:rPr>
          <w:rFonts w:cs="ArialUnicodeMS_PDF_Subset"/>
          <w:szCs w:val="18"/>
          <w:lang w:val="de-DE"/>
        </w:rPr>
        <w:t>passeren</w:t>
      </w:r>
      <w:proofErr w:type="spellEnd"/>
      <w:r w:rsidR="00247981" w:rsidRPr="00247981">
        <w:rPr>
          <w:rFonts w:cs="ArialUnicodeMS_PDF_Subset"/>
          <w:szCs w:val="18"/>
          <w:lang w:val="de-DE"/>
        </w:rPr>
        <w:t xml:space="preserve">. Als dat </w:t>
      </w:r>
      <w:proofErr w:type="spellStart"/>
      <w:r w:rsidR="00247981" w:rsidRPr="00247981">
        <w:rPr>
          <w:rFonts w:cs="ArialUnicodeMS_PDF_Subset"/>
          <w:szCs w:val="18"/>
          <w:lang w:val="de-DE"/>
        </w:rPr>
        <w:t>zo</w:t>
      </w:r>
      <w:proofErr w:type="spellEnd"/>
      <w:r w:rsidR="00247981" w:rsidRPr="00247981">
        <w:rPr>
          <w:rFonts w:cs="ArialUnicodeMS_PDF_Subset"/>
          <w:szCs w:val="18"/>
          <w:lang w:val="de-DE"/>
        </w:rPr>
        <w:t xml:space="preserve"> </w:t>
      </w:r>
      <w:proofErr w:type="spellStart"/>
      <w:r w:rsidR="00247981" w:rsidRPr="00247981">
        <w:rPr>
          <w:rFonts w:cs="ArialUnicodeMS_PDF_Subset"/>
          <w:szCs w:val="18"/>
          <w:lang w:val="de-DE"/>
        </w:rPr>
        <w:t>is</w:t>
      </w:r>
      <w:proofErr w:type="spellEnd"/>
      <w:r w:rsidR="00247981">
        <w:rPr>
          <w:rFonts w:cs="ArialUnicodeMS_PDF_Subset"/>
          <w:szCs w:val="18"/>
          <w:lang w:val="de-DE"/>
        </w:rPr>
        <w:t xml:space="preserve">, </w:t>
      </w:r>
      <w:proofErr w:type="spellStart"/>
      <w:r w:rsidR="00247981">
        <w:rPr>
          <w:rFonts w:cs="ArialUnicodeMS_PDF_Subset"/>
          <w:szCs w:val="18"/>
          <w:lang w:val="de-DE"/>
        </w:rPr>
        <w:t>is</w:t>
      </w:r>
      <w:proofErr w:type="spellEnd"/>
      <w:r w:rsidR="00247981">
        <w:rPr>
          <w:rFonts w:cs="ArialUnicodeMS_PDF_Subset"/>
          <w:szCs w:val="18"/>
          <w:lang w:val="de-DE"/>
        </w:rPr>
        <w:t xml:space="preserve"> </w:t>
      </w:r>
      <w:proofErr w:type="spellStart"/>
      <w:r w:rsidR="00247981">
        <w:rPr>
          <w:rFonts w:cs="ArialUnicodeMS_PDF_Subset"/>
          <w:szCs w:val="18"/>
          <w:lang w:val="de-DE"/>
        </w:rPr>
        <w:t>sprake</w:t>
      </w:r>
      <w:proofErr w:type="spellEnd"/>
      <w:r w:rsidR="00247981">
        <w:rPr>
          <w:rFonts w:cs="ArialUnicodeMS_PDF_Subset"/>
          <w:szCs w:val="18"/>
          <w:lang w:val="de-DE"/>
        </w:rPr>
        <w:t xml:space="preserve"> van </w:t>
      </w:r>
      <w:proofErr w:type="spellStart"/>
      <w:r w:rsidR="00247981">
        <w:rPr>
          <w:rFonts w:cs="ArialUnicodeMS_PDF_Subset"/>
          <w:szCs w:val="18"/>
          <w:lang w:val="de-DE"/>
        </w:rPr>
        <w:t>omwisselen</w:t>
      </w:r>
      <w:proofErr w:type="spellEnd"/>
      <w:r w:rsidR="00247981">
        <w:rPr>
          <w:rFonts w:cs="ArialUnicodeMS_PDF_Subset"/>
          <w:szCs w:val="18"/>
          <w:lang w:val="de-DE"/>
        </w:rPr>
        <w:t xml:space="preserve"> en </w:t>
      </w:r>
      <w:proofErr w:type="spellStart"/>
      <w:r w:rsidR="00247981">
        <w:rPr>
          <w:rFonts w:cs="ArialUnicodeMS_PDF_Subset"/>
          <w:szCs w:val="18"/>
          <w:lang w:val="de-DE"/>
        </w:rPr>
        <w:t>is</w:t>
      </w:r>
      <w:proofErr w:type="spellEnd"/>
      <w:r w:rsidR="00247981">
        <w:rPr>
          <w:rFonts w:cs="ArialUnicodeMS_PDF_Subset"/>
          <w:szCs w:val="18"/>
          <w:lang w:val="de-DE"/>
        </w:rPr>
        <w:t xml:space="preserve"> de </w:t>
      </w:r>
      <w:proofErr w:type="spellStart"/>
      <w:r w:rsidR="00247981">
        <w:rPr>
          <w:rFonts w:cs="ArialUnicodeMS_PDF_Subset"/>
          <w:szCs w:val="18"/>
          <w:lang w:val="de-DE"/>
        </w:rPr>
        <w:t>partij</w:t>
      </w:r>
      <w:proofErr w:type="spellEnd"/>
      <w:r w:rsidR="00247981">
        <w:rPr>
          <w:rFonts w:cs="ArialUnicodeMS_PDF_Subset"/>
          <w:szCs w:val="18"/>
          <w:lang w:val="de-DE"/>
        </w:rPr>
        <w:t xml:space="preserve"> die de dienst </w:t>
      </w:r>
      <w:proofErr w:type="spellStart"/>
      <w:r w:rsidR="00247981">
        <w:rPr>
          <w:rFonts w:cs="ArialUnicodeMS_PDF_Subset"/>
          <w:szCs w:val="18"/>
          <w:lang w:val="de-DE"/>
        </w:rPr>
        <w:t>verricht</w:t>
      </w:r>
      <w:proofErr w:type="spellEnd"/>
      <w:r w:rsidR="00247981">
        <w:rPr>
          <w:rFonts w:cs="ArialUnicodeMS_PDF_Subset"/>
          <w:szCs w:val="18"/>
          <w:lang w:val="de-DE"/>
        </w:rPr>
        <w:t xml:space="preserve"> </w:t>
      </w:r>
      <w:proofErr w:type="spellStart"/>
      <w:r w:rsidR="00247981">
        <w:rPr>
          <w:rFonts w:cs="ArialUnicodeMS_PDF_Subset"/>
          <w:szCs w:val="18"/>
          <w:lang w:val="de-DE"/>
        </w:rPr>
        <w:t>e</w:t>
      </w:r>
      <w:r w:rsidR="00800FB3">
        <w:rPr>
          <w:rFonts w:cs="ArialUnicodeMS_PDF_Subset"/>
          <w:szCs w:val="18"/>
          <w:lang w:val="de-DE"/>
        </w:rPr>
        <w:t>e</w:t>
      </w:r>
      <w:r w:rsidR="00247981">
        <w:rPr>
          <w:rFonts w:cs="ArialUnicodeMS_PDF_Subset"/>
          <w:szCs w:val="18"/>
          <w:lang w:val="de-DE"/>
        </w:rPr>
        <w:t>n</w:t>
      </w:r>
      <w:proofErr w:type="spellEnd"/>
      <w:r w:rsidR="00247981">
        <w:rPr>
          <w:rFonts w:cs="ArialUnicodeMS_PDF_Subset"/>
          <w:szCs w:val="18"/>
          <w:lang w:val="de-DE"/>
        </w:rPr>
        <w:t xml:space="preserve"> </w:t>
      </w:r>
      <w:proofErr w:type="spellStart"/>
      <w:r w:rsidR="00247981">
        <w:rPr>
          <w:rFonts w:cs="ArialUnicodeMS_PDF_Subset"/>
          <w:szCs w:val="18"/>
          <w:lang w:val="de-DE"/>
        </w:rPr>
        <w:t>rapporterende</w:t>
      </w:r>
      <w:proofErr w:type="spellEnd"/>
      <w:r w:rsidR="00247981">
        <w:rPr>
          <w:rFonts w:cs="ArialUnicodeMS_PDF_Subset"/>
          <w:szCs w:val="18"/>
          <w:lang w:val="de-DE"/>
        </w:rPr>
        <w:t xml:space="preserve"> </w:t>
      </w:r>
      <w:proofErr w:type="spellStart"/>
      <w:r w:rsidR="00247981">
        <w:rPr>
          <w:rFonts w:cs="ArialUnicodeMS_PDF_Subset"/>
          <w:szCs w:val="18"/>
          <w:lang w:val="de-DE"/>
        </w:rPr>
        <w:t>aanbieder</w:t>
      </w:r>
      <w:proofErr w:type="spellEnd"/>
      <w:r w:rsidR="00247981">
        <w:rPr>
          <w:rFonts w:cs="ArialUnicodeMS_PDF_Subset"/>
          <w:szCs w:val="18"/>
          <w:lang w:val="de-DE"/>
        </w:rPr>
        <w:t xml:space="preserve"> van cryptoactivadiensten.</w:t>
      </w:r>
      <w:r w:rsidR="00247981" w:rsidRPr="00247981">
        <w:rPr>
          <w:rFonts w:cs="ArialUnicodeMS_PDF_Subset"/>
          <w:szCs w:val="18"/>
          <w:lang w:val="de-DE"/>
        </w:rPr>
        <w:t xml:space="preserve"> </w:t>
      </w:r>
      <w:proofErr w:type="spellStart"/>
      <w:r w:rsidR="00247981" w:rsidRPr="00247981">
        <w:rPr>
          <w:rFonts w:cs="ArialUnicodeMS_PDF_Subset"/>
          <w:szCs w:val="18"/>
          <w:lang w:val="de-DE"/>
        </w:rPr>
        <w:t>Mocht</w:t>
      </w:r>
      <w:proofErr w:type="spellEnd"/>
      <w:r w:rsidR="00247981" w:rsidRPr="00247981">
        <w:rPr>
          <w:rFonts w:cs="ArialUnicodeMS_PDF_Subset"/>
          <w:szCs w:val="18"/>
          <w:lang w:val="de-DE"/>
        </w:rPr>
        <w:t xml:space="preserve"> </w:t>
      </w:r>
      <w:proofErr w:type="spellStart"/>
      <w:r w:rsidR="00247981" w:rsidRPr="00247981">
        <w:rPr>
          <w:rFonts w:cs="ArialUnicodeMS_PDF_Subset"/>
          <w:szCs w:val="18"/>
          <w:lang w:val="de-DE"/>
        </w:rPr>
        <w:t>daarentegen</w:t>
      </w:r>
      <w:proofErr w:type="spellEnd"/>
      <w:r w:rsidR="00247981" w:rsidRPr="00247981">
        <w:rPr>
          <w:rFonts w:cs="ArialUnicodeMS_PDF_Subset"/>
          <w:szCs w:val="18"/>
          <w:lang w:val="de-DE"/>
        </w:rPr>
        <w:t xml:space="preserve"> de dienst </w:t>
      </w:r>
      <w:proofErr w:type="spellStart"/>
      <w:r w:rsidR="00247981" w:rsidRPr="00247981">
        <w:rPr>
          <w:rFonts w:cs="ArialUnicodeMS_PDF_Subset"/>
          <w:szCs w:val="18"/>
          <w:lang w:val="de-DE"/>
        </w:rPr>
        <w:t>meer</w:t>
      </w:r>
      <w:proofErr w:type="spellEnd"/>
      <w:r w:rsidR="00247981" w:rsidRPr="00247981">
        <w:rPr>
          <w:rFonts w:cs="ArialUnicodeMS_PDF_Subset"/>
          <w:szCs w:val="18"/>
          <w:lang w:val="de-DE"/>
        </w:rPr>
        <w:t xml:space="preserve"> </w:t>
      </w:r>
      <w:proofErr w:type="spellStart"/>
      <w:r w:rsidR="00247981" w:rsidRPr="00247981">
        <w:rPr>
          <w:rFonts w:cs="ArialUnicodeMS_PDF_Subset"/>
          <w:szCs w:val="18"/>
          <w:lang w:val="de-DE"/>
        </w:rPr>
        <w:t>voorbereidend</w:t>
      </w:r>
      <w:proofErr w:type="spellEnd"/>
      <w:r w:rsidR="00247981" w:rsidRPr="00247981">
        <w:rPr>
          <w:rFonts w:cs="ArialUnicodeMS_PDF_Subset"/>
          <w:szCs w:val="18"/>
          <w:lang w:val="de-DE"/>
        </w:rPr>
        <w:t xml:space="preserve"> </w:t>
      </w:r>
      <w:proofErr w:type="spellStart"/>
      <w:r w:rsidR="00247981" w:rsidRPr="00247981">
        <w:rPr>
          <w:rFonts w:cs="ArialUnicodeMS_PDF_Subset"/>
          <w:szCs w:val="18"/>
          <w:lang w:val="de-DE"/>
        </w:rPr>
        <w:t>of</w:t>
      </w:r>
      <w:proofErr w:type="spellEnd"/>
      <w:r w:rsidR="00247981" w:rsidRPr="00247981">
        <w:rPr>
          <w:rFonts w:cs="ArialUnicodeMS_PDF_Subset"/>
          <w:szCs w:val="18"/>
          <w:lang w:val="de-DE"/>
        </w:rPr>
        <w:t xml:space="preserve"> </w:t>
      </w:r>
      <w:proofErr w:type="spellStart"/>
      <w:r w:rsidR="00247981" w:rsidRPr="00247981">
        <w:rPr>
          <w:rFonts w:cs="ArialUnicodeMS_PDF_Subset"/>
          <w:szCs w:val="18"/>
          <w:lang w:val="de-DE"/>
        </w:rPr>
        <w:t>bijkomend</w:t>
      </w:r>
      <w:proofErr w:type="spellEnd"/>
      <w:r w:rsidR="00247981" w:rsidRPr="00247981">
        <w:rPr>
          <w:rFonts w:cs="ArialUnicodeMS_PDF_Subset"/>
          <w:szCs w:val="18"/>
          <w:lang w:val="de-DE"/>
        </w:rPr>
        <w:t xml:space="preserve"> </w:t>
      </w:r>
      <w:proofErr w:type="spellStart"/>
      <w:r w:rsidR="00247981" w:rsidRPr="00247981">
        <w:rPr>
          <w:rFonts w:cs="ArialUnicodeMS_PDF_Subset"/>
          <w:szCs w:val="18"/>
          <w:lang w:val="de-DE"/>
        </w:rPr>
        <w:t>zijn</w:t>
      </w:r>
      <w:proofErr w:type="spellEnd"/>
      <w:r w:rsidR="00247981" w:rsidRPr="00247981">
        <w:rPr>
          <w:rFonts w:cs="ArialUnicodeMS_PDF_Subset"/>
          <w:szCs w:val="18"/>
          <w:lang w:val="de-DE"/>
        </w:rPr>
        <w:t xml:space="preserve">, </w:t>
      </w:r>
      <w:proofErr w:type="spellStart"/>
      <w:r w:rsidR="00247981" w:rsidRPr="00247981">
        <w:rPr>
          <w:rFonts w:cs="ArialUnicodeMS_PDF_Subset"/>
          <w:szCs w:val="18"/>
          <w:lang w:val="de-DE"/>
        </w:rPr>
        <w:t>maar</w:t>
      </w:r>
      <w:proofErr w:type="spellEnd"/>
      <w:r w:rsidR="00247981" w:rsidRPr="00247981">
        <w:rPr>
          <w:rFonts w:cs="ArialUnicodeMS_PDF_Subset"/>
          <w:szCs w:val="18"/>
          <w:lang w:val="de-DE"/>
        </w:rPr>
        <w:t xml:space="preserve"> </w:t>
      </w:r>
      <w:proofErr w:type="spellStart"/>
      <w:r w:rsidR="00247981" w:rsidRPr="00247981">
        <w:rPr>
          <w:rFonts w:cs="ArialUnicodeMS_PDF_Subset"/>
          <w:szCs w:val="18"/>
          <w:lang w:val="de-DE"/>
        </w:rPr>
        <w:t>niet</w:t>
      </w:r>
      <w:proofErr w:type="spellEnd"/>
      <w:r w:rsidR="00247981" w:rsidRPr="00247981">
        <w:rPr>
          <w:rFonts w:cs="ArialUnicodeMS_PDF_Subset"/>
          <w:szCs w:val="18"/>
          <w:lang w:val="de-DE"/>
        </w:rPr>
        <w:t xml:space="preserve"> de „</w:t>
      </w:r>
      <w:proofErr w:type="spellStart"/>
      <w:r w:rsidR="00247981" w:rsidRPr="00247981">
        <w:rPr>
          <w:rFonts w:cs="ArialUnicodeMS_PDF_Subset"/>
          <w:szCs w:val="18"/>
          <w:lang w:val="de-DE"/>
        </w:rPr>
        <w:t>effectuation</w:t>
      </w:r>
      <w:proofErr w:type="spellEnd"/>
      <w:r w:rsidR="00247981" w:rsidRPr="00247981">
        <w:rPr>
          <w:rFonts w:cs="ArialUnicodeMS_PDF_Subset"/>
          <w:szCs w:val="18"/>
          <w:lang w:val="de-DE"/>
        </w:rPr>
        <w:t>“ van de Exchange Transaction</w:t>
      </w:r>
      <w:r w:rsidR="004255B7">
        <w:rPr>
          <w:rFonts w:cs="ArialUnicodeMS_PDF_Subset"/>
          <w:szCs w:val="18"/>
          <w:lang w:val="de-DE"/>
        </w:rPr>
        <w:t>s</w:t>
      </w:r>
      <w:r w:rsidR="00247981" w:rsidRPr="00247981">
        <w:rPr>
          <w:rFonts w:cs="ArialUnicodeMS_PDF_Subset"/>
          <w:szCs w:val="18"/>
          <w:lang w:val="de-DE"/>
        </w:rPr>
        <w:t xml:space="preserve"> </w:t>
      </w:r>
      <w:proofErr w:type="spellStart"/>
      <w:r w:rsidR="00247981" w:rsidRPr="00247981">
        <w:rPr>
          <w:rFonts w:cs="ArialUnicodeMS_PDF_Subset"/>
          <w:szCs w:val="18"/>
          <w:lang w:val="de-DE"/>
        </w:rPr>
        <w:t>zijn</w:t>
      </w:r>
      <w:proofErr w:type="spellEnd"/>
      <w:r w:rsidR="00247981" w:rsidRPr="00247981">
        <w:rPr>
          <w:rFonts w:cs="ArialUnicodeMS_PDF_Subset"/>
          <w:szCs w:val="18"/>
          <w:lang w:val="de-DE"/>
        </w:rPr>
        <w:t xml:space="preserve">, </w:t>
      </w:r>
      <w:proofErr w:type="spellStart"/>
      <w:r w:rsidR="00247981" w:rsidRPr="00247981">
        <w:rPr>
          <w:rFonts w:cs="ArialUnicodeMS_PDF_Subset"/>
          <w:szCs w:val="18"/>
          <w:lang w:val="de-DE"/>
        </w:rPr>
        <w:t>dan</w:t>
      </w:r>
      <w:proofErr w:type="spellEnd"/>
      <w:r w:rsidR="00247981" w:rsidRPr="00247981">
        <w:rPr>
          <w:rFonts w:cs="ArialUnicodeMS_PDF_Subset"/>
          <w:szCs w:val="18"/>
          <w:lang w:val="de-DE"/>
        </w:rPr>
        <w:t xml:space="preserve"> </w:t>
      </w:r>
      <w:proofErr w:type="spellStart"/>
      <w:r w:rsidR="00800FB3">
        <w:rPr>
          <w:rFonts w:cs="ArialUnicodeMS_PDF_Subset"/>
          <w:szCs w:val="18"/>
          <w:lang w:val="de-DE"/>
        </w:rPr>
        <w:t>zijn</w:t>
      </w:r>
      <w:proofErr w:type="spellEnd"/>
      <w:r w:rsidR="00247981" w:rsidRPr="00247981">
        <w:rPr>
          <w:rFonts w:cs="ArialUnicodeMS_PDF_Subset"/>
          <w:szCs w:val="18"/>
          <w:lang w:val="de-DE"/>
        </w:rPr>
        <w:t xml:space="preserve"> </w:t>
      </w:r>
      <w:proofErr w:type="spellStart"/>
      <w:r w:rsidR="00247981" w:rsidRPr="00247981">
        <w:rPr>
          <w:rFonts w:cs="ArialUnicodeMS_PDF_Subset"/>
          <w:szCs w:val="18"/>
          <w:lang w:val="de-DE"/>
        </w:rPr>
        <w:t>zulke</w:t>
      </w:r>
      <w:proofErr w:type="spellEnd"/>
      <w:r w:rsidR="00247981" w:rsidRPr="00247981">
        <w:rPr>
          <w:rFonts w:cs="ArialUnicodeMS_PDF_Subset"/>
          <w:szCs w:val="18"/>
          <w:lang w:val="de-DE"/>
        </w:rPr>
        <w:t xml:space="preserve"> </w:t>
      </w:r>
      <w:proofErr w:type="spellStart"/>
      <w:r w:rsidR="00247981" w:rsidRPr="00247981">
        <w:rPr>
          <w:rFonts w:cs="ArialUnicodeMS_PDF_Subset"/>
          <w:szCs w:val="18"/>
          <w:lang w:val="de-DE"/>
        </w:rPr>
        <w:t>dienstverleners</w:t>
      </w:r>
      <w:proofErr w:type="spellEnd"/>
      <w:r w:rsidR="00247981" w:rsidRPr="00247981">
        <w:rPr>
          <w:rFonts w:cs="ArialUnicodeMS_PDF_Subset"/>
          <w:szCs w:val="18"/>
          <w:lang w:val="de-DE"/>
        </w:rPr>
        <w:t xml:space="preserve"> </w:t>
      </w:r>
      <w:proofErr w:type="spellStart"/>
      <w:r w:rsidR="00247981" w:rsidRPr="00247981">
        <w:rPr>
          <w:rFonts w:cs="ArialUnicodeMS_PDF_Subset"/>
          <w:szCs w:val="18"/>
          <w:lang w:val="de-DE"/>
        </w:rPr>
        <w:t>geen</w:t>
      </w:r>
      <w:proofErr w:type="spellEnd"/>
      <w:r w:rsidR="00247981" w:rsidRPr="00247981">
        <w:rPr>
          <w:rFonts w:cs="ArialUnicodeMS_PDF_Subset"/>
          <w:szCs w:val="18"/>
          <w:lang w:val="de-DE"/>
        </w:rPr>
        <w:t xml:space="preserve"> </w:t>
      </w:r>
      <w:proofErr w:type="spellStart"/>
      <w:r w:rsidR="00800FB3">
        <w:rPr>
          <w:rFonts w:cs="ArialUnicodeMS_PDF_Subset"/>
          <w:szCs w:val="18"/>
          <w:lang w:val="de-DE"/>
        </w:rPr>
        <w:t>rapporterende</w:t>
      </w:r>
      <w:proofErr w:type="spellEnd"/>
      <w:r w:rsidR="00800FB3">
        <w:rPr>
          <w:rFonts w:cs="ArialUnicodeMS_PDF_Subset"/>
          <w:szCs w:val="18"/>
          <w:lang w:val="de-DE"/>
        </w:rPr>
        <w:t xml:space="preserve"> </w:t>
      </w:r>
      <w:proofErr w:type="spellStart"/>
      <w:r w:rsidR="00800FB3">
        <w:rPr>
          <w:rFonts w:cs="ArialUnicodeMS_PDF_Subset"/>
          <w:szCs w:val="18"/>
          <w:lang w:val="de-DE"/>
        </w:rPr>
        <w:t>cryptodienstverleners</w:t>
      </w:r>
      <w:proofErr w:type="spellEnd"/>
      <w:r w:rsidR="00800FB3">
        <w:rPr>
          <w:rFonts w:cs="ArialUnicodeMS_PDF_Subset"/>
          <w:szCs w:val="18"/>
          <w:lang w:val="de-DE"/>
        </w:rPr>
        <w:t>.</w:t>
      </w:r>
      <w:r w:rsidR="00247981" w:rsidRPr="00247981">
        <w:rPr>
          <w:rFonts w:cs="ArialUnicodeMS_PDF_Subset"/>
          <w:szCs w:val="18"/>
          <w:lang w:val="de-DE"/>
        </w:rPr>
        <w:t xml:space="preserve"> </w:t>
      </w:r>
    </w:p>
    <w:p w14:paraId="18A5EAFE" w14:textId="77777777" w:rsidR="004255B7" w:rsidRDefault="004255B7" w:rsidP="00B66A66">
      <w:pPr>
        <w:rPr>
          <w:rFonts w:cs="ArialUnicodeMS_PDF_Subset"/>
          <w:szCs w:val="18"/>
        </w:rPr>
      </w:pPr>
    </w:p>
    <w:p w14:paraId="555F9D41" w14:textId="0973DDCE" w:rsidR="00DA0E0C" w:rsidRDefault="00DA0E0C" w:rsidP="00A43162">
      <w:pPr>
        <w:jc w:val="both"/>
        <w:rPr>
          <w:rFonts w:cs="ArialUnicodeMS_PDF_Subset"/>
          <w:szCs w:val="18"/>
        </w:rPr>
      </w:pPr>
      <w:r>
        <w:rPr>
          <w:rFonts w:cs="ArialUnicodeMS_PDF_Subset"/>
          <w:szCs w:val="18"/>
        </w:rPr>
        <w:t xml:space="preserve">Voor een aantal dienstverleners zal zondermeer duidelijk zijn </w:t>
      </w:r>
      <w:r w:rsidR="00186BF0">
        <w:rPr>
          <w:rFonts w:cs="ArialUnicodeMS_PDF_Subset"/>
          <w:szCs w:val="18"/>
        </w:rPr>
        <w:t>dat</w:t>
      </w:r>
      <w:r>
        <w:rPr>
          <w:rFonts w:cs="ArialUnicodeMS_PDF_Subset"/>
          <w:szCs w:val="18"/>
        </w:rPr>
        <w:t xml:space="preserve"> sprake is van het omwisselen van cryptoactiva. Het kan echter voorkomen dat</w:t>
      </w:r>
      <w:r w:rsidR="00186BF0">
        <w:rPr>
          <w:rFonts w:cs="ArialUnicodeMS_PDF_Subset"/>
          <w:szCs w:val="18"/>
        </w:rPr>
        <w:t xml:space="preserve"> er</w:t>
      </w:r>
      <w:r>
        <w:rPr>
          <w:rFonts w:cs="ArialUnicodeMS_PDF_Subset"/>
          <w:szCs w:val="18"/>
        </w:rPr>
        <w:t xml:space="preserve"> twijfel bestaat of sprake is van het verrichten omwisseltransacties. In die gevallen zal nader moeten worden ingezoomd op de dienst die wordt verricht en </w:t>
      </w:r>
      <w:r w:rsidR="00186BF0">
        <w:rPr>
          <w:rFonts w:cs="ArialUnicodeMS_PDF_Subset"/>
          <w:szCs w:val="18"/>
        </w:rPr>
        <w:t xml:space="preserve">zal </w:t>
      </w:r>
      <w:r>
        <w:rPr>
          <w:rFonts w:cs="ArialUnicodeMS_PDF_Subset"/>
          <w:szCs w:val="18"/>
        </w:rPr>
        <w:t>per geval beoordeeld moeten worden of</w:t>
      </w:r>
      <w:r w:rsidR="00800FB3">
        <w:rPr>
          <w:rFonts w:cs="ArialUnicodeMS_PDF_Subset"/>
          <w:szCs w:val="18"/>
        </w:rPr>
        <w:t xml:space="preserve"> sprake is van het verrichten van omwisseltransacties</w:t>
      </w:r>
      <w:r>
        <w:rPr>
          <w:rFonts w:cs="ArialUnicodeMS_PDF_Subset"/>
          <w:szCs w:val="18"/>
        </w:rPr>
        <w:t xml:space="preserve">. </w:t>
      </w:r>
    </w:p>
    <w:p w14:paraId="44E5999B" w14:textId="77777777" w:rsidR="00DA0E0C" w:rsidRDefault="00DA0E0C" w:rsidP="00A43162">
      <w:pPr>
        <w:jc w:val="both"/>
        <w:rPr>
          <w:rFonts w:cs="ArialUnicodeMS_PDF_Subset"/>
          <w:szCs w:val="18"/>
        </w:rPr>
      </w:pPr>
    </w:p>
    <w:p w14:paraId="2A567DAC" w14:textId="4819B255" w:rsidR="00DA0E0C" w:rsidRDefault="00186BF0" w:rsidP="00A43162">
      <w:pPr>
        <w:jc w:val="both"/>
        <w:rPr>
          <w:rFonts w:cs="ArialUnicodeMS_PDF_Subset"/>
          <w:szCs w:val="18"/>
        </w:rPr>
      </w:pPr>
      <w:r>
        <w:rPr>
          <w:rFonts w:cs="ArialUnicodeMS_PDF_Subset"/>
          <w:szCs w:val="18"/>
        </w:rPr>
        <w:t>Het kan ook zijn dat er voor meerdere dienstverleners een rapportageplicht bestaat bij eenzelfde transactie. Dit is bijvoorbeeld het geval wanneer een gebruiker cryptoactiva wil omwisselen en daarbij gebruik maakt van de diensten van een makelaar(broker). In die gevallen heeft zowel de makelaar als de exchange een rapportageplicht.</w:t>
      </w:r>
    </w:p>
    <w:p w14:paraId="63D22659" w14:textId="77777777" w:rsidR="00557ADD" w:rsidRDefault="00557ADD" w:rsidP="00B66A66">
      <w:pPr>
        <w:rPr>
          <w:rFonts w:cs="ArialUnicodeMS_PDF_Subset"/>
          <w:szCs w:val="18"/>
        </w:rPr>
      </w:pPr>
    </w:p>
    <w:p w14:paraId="344371BE" w14:textId="09E64EC6" w:rsidR="00996C8C" w:rsidRDefault="00186BF0" w:rsidP="00A43162">
      <w:pPr>
        <w:jc w:val="both"/>
        <w:rPr>
          <w:rFonts w:cs="ArialUnicodeMS_PDF_Subset"/>
          <w:szCs w:val="18"/>
        </w:rPr>
      </w:pPr>
      <w:r>
        <w:rPr>
          <w:rFonts w:cs="ArialUnicodeMS_PDF_Subset"/>
          <w:szCs w:val="18"/>
        </w:rPr>
        <w:t xml:space="preserve">Worden uitsluitend overboekingen van cryptoactiva gedaan zonder dat er ook wordt omgewisseld dan is er geen rapportageverplichting. Ook voor </w:t>
      </w:r>
      <w:r w:rsidR="00A43162">
        <w:rPr>
          <w:rFonts w:cs="ArialUnicodeMS_PDF_Subset"/>
          <w:szCs w:val="18"/>
        </w:rPr>
        <w:t xml:space="preserve">transacties in </w:t>
      </w:r>
      <w:r>
        <w:rPr>
          <w:rFonts w:cs="ArialUnicodeMS_PDF_Subset"/>
          <w:szCs w:val="18"/>
        </w:rPr>
        <w:t xml:space="preserve">cryptoactiva waarvan de cryptodienstverlener heeft vastgesteld dat die niet gebruikt kunnen worden voor </w:t>
      </w:r>
      <w:r w:rsidR="00D803DB">
        <w:rPr>
          <w:rFonts w:cs="ArialUnicodeMS_PDF_Subset"/>
          <w:szCs w:val="18"/>
        </w:rPr>
        <w:t xml:space="preserve">betalings- of beleggingsdoeleinden </w:t>
      </w:r>
      <w:r>
        <w:rPr>
          <w:rFonts w:cs="ArialUnicodeMS_PDF_Subset"/>
          <w:szCs w:val="18"/>
        </w:rPr>
        <w:t xml:space="preserve">bestaat geen rapportageverplichting. </w:t>
      </w:r>
    </w:p>
    <w:p w14:paraId="4FC4AEC7" w14:textId="77777777" w:rsidR="004255B7" w:rsidRDefault="004255B7" w:rsidP="00B66A66">
      <w:pPr>
        <w:rPr>
          <w:rFonts w:cs="ArialUnicodeMS_PDF_Subset"/>
          <w:szCs w:val="18"/>
        </w:rPr>
      </w:pPr>
    </w:p>
    <w:p w14:paraId="0B556813" w14:textId="69732A52" w:rsidR="003F25C3" w:rsidRDefault="008219E5" w:rsidP="00A43162">
      <w:pPr>
        <w:jc w:val="both"/>
        <w:rPr>
          <w:rFonts w:cs="ArialUnicodeMS_PDF_Subset"/>
          <w:szCs w:val="18"/>
        </w:rPr>
      </w:pPr>
      <w:r>
        <w:rPr>
          <w:rFonts w:cs="ArialUnicodeMS_PDF_Subset"/>
          <w:szCs w:val="18"/>
        </w:rPr>
        <w:t xml:space="preserve">Te denken valt hierbij aan de zogenoemde </w:t>
      </w:r>
      <w:r w:rsidR="005A2C39">
        <w:rPr>
          <w:rFonts w:cs="ArialUnicodeMS_PDF_Subset"/>
          <w:szCs w:val="18"/>
        </w:rPr>
        <w:t>“</w:t>
      </w:r>
      <w:proofErr w:type="spellStart"/>
      <w:r>
        <w:rPr>
          <w:rFonts w:cs="ArialUnicodeMS_PDF_Subset"/>
          <w:szCs w:val="18"/>
        </w:rPr>
        <w:t>closed</w:t>
      </w:r>
      <w:proofErr w:type="spellEnd"/>
      <w:r>
        <w:rPr>
          <w:rFonts w:cs="ArialUnicodeMS_PDF_Subset"/>
          <w:szCs w:val="18"/>
        </w:rPr>
        <w:t>-loop crypto assets</w:t>
      </w:r>
      <w:r w:rsidR="005A2C39">
        <w:rPr>
          <w:rFonts w:cs="ArialUnicodeMS_PDF_Subset"/>
          <w:szCs w:val="18"/>
        </w:rPr>
        <w:t>”</w:t>
      </w:r>
      <w:r w:rsidR="008538DF">
        <w:rPr>
          <w:rFonts w:cs="ArialUnicodeMS_PDF_Subset"/>
          <w:szCs w:val="18"/>
        </w:rPr>
        <w:t xml:space="preserve"> </w:t>
      </w:r>
      <w:r w:rsidR="005769BD">
        <w:rPr>
          <w:rFonts w:cs="ArialUnicodeMS_PDF_Subset"/>
          <w:szCs w:val="18"/>
        </w:rPr>
        <w:t xml:space="preserve">die niet kunnen worden overgedragen of gewisseld op een secundaire markt buiten dit </w:t>
      </w:r>
      <w:proofErr w:type="spellStart"/>
      <w:r w:rsidR="005769BD">
        <w:rPr>
          <w:rFonts w:cs="ArialUnicodeMS_PDF_Subset"/>
          <w:szCs w:val="18"/>
        </w:rPr>
        <w:t>closed</w:t>
      </w:r>
      <w:proofErr w:type="spellEnd"/>
      <w:r w:rsidR="005769BD">
        <w:rPr>
          <w:rFonts w:cs="ArialUnicodeMS_PDF_Subset"/>
          <w:szCs w:val="18"/>
        </w:rPr>
        <w:t xml:space="preserve">-loop systeem en ook niet kunnen worden verkocht of gewisseld tegen een marktkoers binnen of buiten deze </w:t>
      </w:r>
      <w:proofErr w:type="spellStart"/>
      <w:r w:rsidR="005769BD">
        <w:rPr>
          <w:rFonts w:cs="ArialUnicodeMS_PDF_Subset"/>
          <w:szCs w:val="18"/>
        </w:rPr>
        <w:t>closed</w:t>
      </w:r>
      <w:proofErr w:type="spellEnd"/>
      <w:r w:rsidR="005769BD">
        <w:rPr>
          <w:rFonts w:cs="ArialUnicodeMS_PDF_Subset"/>
          <w:szCs w:val="18"/>
        </w:rPr>
        <w:t xml:space="preserve">-loop.  </w:t>
      </w:r>
    </w:p>
    <w:p w14:paraId="4D5F5C61" w14:textId="77777777" w:rsidR="003F25C3" w:rsidRDefault="003F25C3" w:rsidP="00B66A66">
      <w:pPr>
        <w:rPr>
          <w:rFonts w:cs="ArialUnicodeMS_PDF_Subset"/>
          <w:szCs w:val="18"/>
        </w:rPr>
      </w:pPr>
    </w:p>
    <w:p w14:paraId="266498B5" w14:textId="72617B99" w:rsidR="00B66A66" w:rsidRDefault="00E81B42" w:rsidP="00B66A66">
      <w:pPr>
        <w:rPr>
          <w:rFonts w:cs="ArialUnicodeMS_PDF_Subset"/>
          <w:szCs w:val="18"/>
        </w:rPr>
      </w:pPr>
      <w:r>
        <w:rPr>
          <w:rFonts w:cs="ArialUnicodeMS_PDF_Subset"/>
          <w:szCs w:val="18"/>
        </w:rPr>
        <w:t xml:space="preserve">Indien u kwalificeert als een rapporterende cryptodienstverlener zal de </w:t>
      </w:r>
      <w:r w:rsidR="003F25C3">
        <w:rPr>
          <w:rFonts w:cs="ArialUnicodeMS_PDF_Subset"/>
          <w:szCs w:val="18"/>
        </w:rPr>
        <w:t xml:space="preserve">te </w:t>
      </w:r>
      <w:r w:rsidR="00944DB9">
        <w:rPr>
          <w:rFonts w:cs="ArialUnicodeMS_PDF_Subset"/>
          <w:szCs w:val="18"/>
        </w:rPr>
        <w:t>“</w:t>
      </w:r>
      <w:r w:rsidR="003F25C3">
        <w:rPr>
          <w:rFonts w:cs="ArialUnicodeMS_PDF_Subset"/>
          <w:szCs w:val="18"/>
        </w:rPr>
        <w:t>rapporteren informatie</w:t>
      </w:r>
      <w:r w:rsidR="00944DB9">
        <w:rPr>
          <w:rFonts w:cs="ArialUnicodeMS_PDF_Subset"/>
          <w:szCs w:val="18"/>
        </w:rPr>
        <w:t>”</w:t>
      </w:r>
      <w:r w:rsidR="003F25C3">
        <w:rPr>
          <w:rFonts w:cs="ArialUnicodeMS_PDF_Subset"/>
          <w:szCs w:val="18"/>
        </w:rPr>
        <w:t xml:space="preserve"> bestaan uit de volgend</w:t>
      </w:r>
      <w:r w:rsidR="008538DF">
        <w:rPr>
          <w:rFonts w:cs="ArialUnicodeMS_PDF_Subset"/>
          <w:szCs w:val="18"/>
        </w:rPr>
        <w:t>e</w:t>
      </w:r>
      <w:r w:rsidR="003F25C3">
        <w:rPr>
          <w:rFonts w:cs="ArialUnicodeMS_PDF_Subset"/>
          <w:szCs w:val="18"/>
        </w:rPr>
        <w:t xml:space="preserve"> </w:t>
      </w:r>
      <w:r w:rsidR="00662DFC">
        <w:rPr>
          <w:rFonts w:cs="ArialUnicodeMS_PDF_Subset"/>
          <w:szCs w:val="18"/>
        </w:rPr>
        <w:t>3</w:t>
      </w:r>
      <w:r w:rsidR="003F25C3">
        <w:rPr>
          <w:rFonts w:cs="ArialUnicodeMS_PDF_Subset"/>
          <w:szCs w:val="18"/>
        </w:rPr>
        <w:t xml:space="preserve"> onderdelen:</w:t>
      </w:r>
    </w:p>
    <w:p w14:paraId="4263FA73" w14:textId="145E5FE2" w:rsidR="003F25C3" w:rsidRPr="003F25C3" w:rsidRDefault="003F25C3" w:rsidP="00192D2E">
      <w:pPr>
        <w:pStyle w:val="Lijstalinea"/>
        <w:numPr>
          <w:ilvl w:val="0"/>
          <w:numId w:val="8"/>
        </w:numPr>
        <w:rPr>
          <w:rFonts w:cs="ArialUnicodeMS_PDF_Subset"/>
          <w:szCs w:val="18"/>
        </w:rPr>
      </w:pPr>
      <w:r w:rsidRPr="003F25C3">
        <w:rPr>
          <w:rFonts w:cs="ArialUnicodeMS_PDF_Subset"/>
          <w:szCs w:val="18"/>
        </w:rPr>
        <w:t>Info</w:t>
      </w:r>
      <w:r w:rsidR="00BE2809">
        <w:rPr>
          <w:rFonts w:cs="ArialUnicodeMS_PDF_Subset"/>
          <w:szCs w:val="18"/>
        </w:rPr>
        <w:t>r</w:t>
      </w:r>
      <w:r w:rsidRPr="003F25C3">
        <w:rPr>
          <w:rFonts w:cs="ArialUnicodeMS_PDF_Subset"/>
          <w:szCs w:val="18"/>
        </w:rPr>
        <w:t>matie over de rapporterende aanbieder van cryptoactivadiensten zelf;</w:t>
      </w:r>
    </w:p>
    <w:p w14:paraId="3AA60DD9" w14:textId="0FCF0354" w:rsidR="003F25C3" w:rsidRPr="003F25C3" w:rsidRDefault="003F25C3" w:rsidP="00192D2E">
      <w:pPr>
        <w:pStyle w:val="Lijstalinea"/>
        <w:numPr>
          <w:ilvl w:val="0"/>
          <w:numId w:val="8"/>
        </w:numPr>
      </w:pPr>
      <w:r w:rsidRPr="003F25C3">
        <w:rPr>
          <w:rFonts w:cs="ArialUnicodeMS_PDF_Subset"/>
          <w:szCs w:val="18"/>
        </w:rPr>
        <w:t>Informatie over de gebruikers van cry</w:t>
      </w:r>
      <w:r w:rsidR="00A43162">
        <w:rPr>
          <w:rFonts w:cs="ArialUnicodeMS_PDF_Subset"/>
          <w:szCs w:val="18"/>
        </w:rPr>
        <w:t>p</w:t>
      </w:r>
      <w:r w:rsidRPr="003F25C3">
        <w:rPr>
          <w:rFonts w:cs="ArialUnicodeMS_PDF_Subset"/>
          <w:szCs w:val="18"/>
        </w:rPr>
        <w:t>toactiva</w:t>
      </w:r>
      <w:r>
        <w:rPr>
          <w:rFonts w:cs="ArialUnicodeMS_PDF_Subset"/>
          <w:szCs w:val="18"/>
        </w:rPr>
        <w:t>;</w:t>
      </w:r>
    </w:p>
    <w:p w14:paraId="74929C9B" w14:textId="70222143" w:rsidR="003F25C3" w:rsidRPr="005B7855" w:rsidRDefault="003F25C3" w:rsidP="00192D2E">
      <w:pPr>
        <w:pStyle w:val="Lijstalinea"/>
        <w:numPr>
          <w:ilvl w:val="0"/>
          <w:numId w:val="8"/>
        </w:numPr>
      </w:pPr>
      <w:r>
        <w:rPr>
          <w:rFonts w:cs="ArialUnicodeMS_PDF_Subset"/>
          <w:szCs w:val="18"/>
        </w:rPr>
        <w:t>Informatie over de per kalenderjaar uitgevoerde transacties</w:t>
      </w:r>
      <w:r w:rsidR="00247447">
        <w:rPr>
          <w:rFonts w:cs="ArialUnicodeMS_PDF_Subset"/>
          <w:szCs w:val="18"/>
        </w:rPr>
        <w:t xml:space="preserve"> (</w:t>
      </w:r>
      <w:r w:rsidR="00E81B42">
        <w:rPr>
          <w:rFonts w:cs="ArialUnicodeMS_PDF_Subset"/>
          <w:szCs w:val="18"/>
        </w:rPr>
        <w:t>om</w:t>
      </w:r>
      <w:r w:rsidR="00247447">
        <w:rPr>
          <w:rFonts w:cs="ArialUnicodeMS_PDF_Subset"/>
          <w:szCs w:val="18"/>
        </w:rPr>
        <w:t>wisseltransacties en overboekingen)</w:t>
      </w:r>
      <w:r w:rsidR="00662DFC">
        <w:rPr>
          <w:rFonts w:cs="ArialUnicodeMS_PDF_Subset"/>
          <w:szCs w:val="18"/>
        </w:rPr>
        <w:t>.</w:t>
      </w:r>
    </w:p>
    <w:p w14:paraId="3822CF58" w14:textId="2134AC94" w:rsidR="00A43162" w:rsidRDefault="00A43162" w:rsidP="00A43162"/>
    <w:p w14:paraId="23A9624D" w14:textId="6039AB4F" w:rsidR="00A43162" w:rsidRPr="003F25C3" w:rsidRDefault="00A43162" w:rsidP="00A43162">
      <w:r>
        <w:t>Indien u kwalificeert als een financiële instelling onder de Common Reporting Standard/DAC2 heeft u ook de verplichting om informatie over bij u aangehouden cryptotegoeden te rapporteren.</w:t>
      </w:r>
    </w:p>
    <w:p w14:paraId="590F67A0" w14:textId="126A69F0" w:rsidR="003F25C3" w:rsidRDefault="00681F78" w:rsidP="003F25C3">
      <w:pPr>
        <w:pStyle w:val="Kop2"/>
      </w:pPr>
      <w:bookmarkStart w:id="55" w:name="_Toc207732161"/>
      <w:r>
        <w:t xml:space="preserve">Informatie over </w:t>
      </w:r>
      <w:r w:rsidR="005F5536">
        <w:t xml:space="preserve">de </w:t>
      </w:r>
      <w:r>
        <w:t>rapporterend</w:t>
      </w:r>
      <w:r w:rsidR="005F5536">
        <w:t>e</w:t>
      </w:r>
      <w:r>
        <w:t xml:space="preserve"> aanbieder </w:t>
      </w:r>
      <w:r w:rsidR="005F5536">
        <w:t xml:space="preserve">van </w:t>
      </w:r>
      <w:r>
        <w:t>cryptoactivadiensten</w:t>
      </w:r>
      <w:bookmarkEnd w:id="55"/>
    </w:p>
    <w:p w14:paraId="7077FB74" w14:textId="77777777" w:rsidR="003F25C3" w:rsidRDefault="003F25C3" w:rsidP="003F25C3"/>
    <w:p w14:paraId="4BABE4C7" w14:textId="77777777" w:rsidR="006B29AD" w:rsidRDefault="00681F78" w:rsidP="000256CC">
      <w:pPr>
        <w:autoSpaceDE w:val="0"/>
        <w:autoSpaceDN w:val="0"/>
        <w:adjustRightInd w:val="0"/>
        <w:jc w:val="both"/>
        <w:rPr>
          <w:rFonts w:cs="Verdana"/>
          <w:szCs w:val="18"/>
        </w:rPr>
      </w:pPr>
      <w:r>
        <w:rPr>
          <w:rFonts w:cs="Verdana"/>
          <w:szCs w:val="18"/>
        </w:rPr>
        <w:t xml:space="preserve">De rapporterende aanbieder van cryptoactivadiensten rapporteert zijn naam, adres, fiscaalidentificatienummer en, indien beschikbaar, het individuele identificatienummer </w:t>
      </w:r>
      <w:r>
        <w:rPr>
          <w:rFonts w:cs="Verdana"/>
          <w:szCs w:val="18"/>
        </w:rPr>
        <w:lastRenderedPageBreak/>
        <w:t>(dat op grond van</w:t>
      </w:r>
      <w:r w:rsidR="005F5536">
        <w:rPr>
          <w:rFonts w:cs="Verdana"/>
          <w:szCs w:val="18"/>
        </w:rPr>
        <w:t xml:space="preserve"> </w:t>
      </w:r>
      <w:r>
        <w:rPr>
          <w:rFonts w:cs="Verdana"/>
          <w:szCs w:val="18"/>
        </w:rPr>
        <w:t>artikel 10od, vierde lid, wijziging WIB) aan hem is toegekend en de mondiale identificatiecode voor juridische entiteiten.</w:t>
      </w:r>
      <w:r w:rsidR="006B29AD">
        <w:rPr>
          <w:rFonts w:cs="Verdana"/>
          <w:szCs w:val="18"/>
        </w:rPr>
        <w:t xml:space="preserve"> </w:t>
      </w:r>
    </w:p>
    <w:p w14:paraId="09DE52B8" w14:textId="77777777" w:rsidR="006B29AD" w:rsidRDefault="006B29AD" w:rsidP="000256CC">
      <w:pPr>
        <w:autoSpaceDE w:val="0"/>
        <w:autoSpaceDN w:val="0"/>
        <w:adjustRightInd w:val="0"/>
        <w:jc w:val="both"/>
        <w:rPr>
          <w:rFonts w:cs="Verdana"/>
          <w:szCs w:val="18"/>
        </w:rPr>
      </w:pPr>
    </w:p>
    <w:p w14:paraId="1AC061EE" w14:textId="6427B17F" w:rsidR="003F25C3" w:rsidRDefault="006B29AD" w:rsidP="000256CC">
      <w:pPr>
        <w:autoSpaceDE w:val="0"/>
        <w:autoSpaceDN w:val="0"/>
        <w:adjustRightInd w:val="0"/>
        <w:jc w:val="both"/>
        <w:rPr>
          <w:rFonts w:cs="Verdana"/>
          <w:szCs w:val="18"/>
        </w:rPr>
      </w:pPr>
      <w:r w:rsidRPr="007F2885">
        <w:rPr>
          <w:szCs w:val="22"/>
        </w:rPr>
        <w:t xml:space="preserve">De mondiale identificatiecode kan één van de volgende </w:t>
      </w:r>
      <w:r>
        <w:rPr>
          <w:szCs w:val="22"/>
        </w:rPr>
        <w:t xml:space="preserve">aan juridische entiteiten toegekende </w:t>
      </w:r>
      <w:r w:rsidRPr="007F2885">
        <w:rPr>
          <w:szCs w:val="22"/>
        </w:rPr>
        <w:t xml:space="preserve">identificatienummers zijn: een fiscaal identificatienummer of, bij gebrek daaraan, een registratienummer of een registratiecode van het bedrijf, of een Global Legal </w:t>
      </w:r>
      <w:proofErr w:type="spellStart"/>
      <w:r w:rsidRPr="007F2885">
        <w:rPr>
          <w:szCs w:val="22"/>
        </w:rPr>
        <w:t>Entity</w:t>
      </w:r>
      <w:proofErr w:type="spellEnd"/>
      <w:r w:rsidRPr="007F2885">
        <w:rPr>
          <w:szCs w:val="22"/>
        </w:rPr>
        <w:t xml:space="preserve"> </w:t>
      </w:r>
      <w:proofErr w:type="spellStart"/>
      <w:r w:rsidRPr="007F2885">
        <w:rPr>
          <w:szCs w:val="22"/>
        </w:rPr>
        <w:t>Identifier</w:t>
      </w:r>
      <w:proofErr w:type="spellEnd"/>
      <w:r w:rsidRPr="007F2885">
        <w:rPr>
          <w:szCs w:val="22"/>
        </w:rPr>
        <w:t xml:space="preserve"> (LEI). Indien geen identificatienummer aan de rapporterende aanbieder van cryptoactivadiensten is toegekend, volstaat de rapportage van de naam en het adres van de rapporterende aanbieder van </w:t>
      </w:r>
      <w:proofErr w:type="spellStart"/>
      <w:r w:rsidRPr="007F2885">
        <w:rPr>
          <w:szCs w:val="22"/>
        </w:rPr>
        <w:t>cryptoactivadiensten</w:t>
      </w:r>
      <w:proofErr w:type="spellEnd"/>
      <w:r>
        <w:rPr>
          <w:szCs w:val="22"/>
        </w:rPr>
        <w:t>.</w:t>
      </w:r>
    </w:p>
    <w:p w14:paraId="5EE1224A" w14:textId="1214F3E8" w:rsidR="005B146F" w:rsidRDefault="005B146F" w:rsidP="00681F78">
      <w:pPr>
        <w:autoSpaceDE w:val="0"/>
        <w:autoSpaceDN w:val="0"/>
        <w:adjustRightInd w:val="0"/>
        <w:rPr>
          <w:rFonts w:cs="Verdana"/>
          <w:szCs w:val="18"/>
        </w:rPr>
      </w:pPr>
    </w:p>
    <w:p w14:paraId="717E4D52" w14:textId="1375AD5B" w:rsidR="005B146F" w:rsidRDefault="005B146F" w:rsidP="005B146F">
      <w:pPr>
        <w:autoSpaceDE w:val="0"/>
        <w:autoSpaceDN w:val="0"/>
        <w:adjustRightInd w:val="0"/>
        <w:rPr>
          <w:rFonts w:cs="Verdana"/>
          <w:szCs w:val="18"/>
        </w:rPr>
      </w:pPr>
      <w:r>
        <w:rPr>
          <w:rFonts w:cs="Verdana"/>
          <w:szCs w:val="18"/>
        </w:rPr>
        <w:t>Zo wordt voor een in N</w:t>
      </w:r>
      <w:r w:rsidR="008538DF">
        <w:rPr>
          <w:rFonts w:cs="Verdana"/>
          <w:szCs w:val="18"/>
        </w:rPr>
        <w:t>ederlands</w:t>
      </w:r>
      <w:r>
        <w:rPr>
          <w:rFonts w:cs="Verdana"/>
          <w:szCs w:val="18"/>
        </w:rPr>
        <w:t xml:space="preserve"> belastingplichtig</w:t>
      </w:r>
      <w:r w:rsidR="008538DF">
        <w:rPr>
          <w:rFonts w:cs="Verdana"/>
          <w:szCs w:val="18"/>
        </w:rPr>
        <w:t>e</w:t>
      </w:r>
      <w:r>
        <w:rPr>
          <w:rFonts w:cs="Verdana"/>
          <w:szCs w:val="18"/>
        </w:rPr>
        <w:t xml:space="preserve"> rechtspersoon </w:t>
      </w:r>
      <w:r w:rsidR="008538DF">
        <w:rPr>
          <w:rFonts w:cs="Verdana"/>
          <w:szCs w:val="18"/>
        </w:rPr>
        <w:t xml:space="preserve">de </w:t>
      </w:r>
      <w:r>
        <w:rPr>
          <w:rFonts w:cs="Verdana"/>
          <w:szCs w:val="18"/>
        </w:rPr>
        <w:t>aangeleverd</w:t>
      </w:r>
      <w:r w:rsidR="008538DF">
        <w:rPr>
          <w:rFonts w:cs="Verdana"/>
          <w:szCs w:val="18"/>
        </w:rPr>
        <w:t>e</w:t>
      </w:r>
      <w:r>
        <w:rPr>
          <w:rFonts w:cs="Verdana"/>
          <w:szCs w:val="18"/>
        </w:rPr>
        <w:t xml:space="preserve"> RSIN geverifieerd tegen bij de Belastingdienst beschikbare gegevens. Het resultaat van de verificatie wordt bij het RSIN als onderdeel van de DAC8/CARF </w:t>
      </w:r>
      <w:proofErr w:type="spellStart"/>
      <w:r>
        <w:rPr>
          <w:rFonts w:cs="Verdana"/>
          <w:szCs w:val="18"/>
        </w:rPr>
        <w:t>gegevensset</w:t>
      </w:r>
      <w:proofErr w:type="spellEnd"/>
      <w:r>
        <w:rPr>
          <w:rFonts w:cs="Verdana"/>
          <w:szCs w:val="18"/>
        </w:rPr>
        <w:t xml:space="preserve"> vastgelegd. </w:t>
      </w:r>
    </w:p>
    <w:p w14:paraId="15FECE5C" w14:textId="77777777" w:rsidR="005B146F" w:rsidRDefault="005B146F" w:rsidP="00681F78">
      <w:pPr>
        <w:autoSpaceDE w:val="0"/>
        <w:autoSpaceDN w:val="0"/>
        <w:adjustRightInd w:val="0"/>
        <w:rPr>
          <w:rFonts w:cs="Verdana"/>
          <w:szCs w:val="18"/>
        </w:rPr>
      </w:pPr>
    </w:p>
    <w:p w14:paraId="2C887CD5" w14:textId="77777777" w:rsidR="00944DB9" w:rsidRDefault="00944DB9" w:rsidP="00944DB9">
      <w:pPr>
        <w:autoSpaceDE w:val="0"/>
        <w:autoSpaceDN w:val="0"/>
        <w:adjustRightInd w:val="0"/>
        <w:rPr>
          <w:rFonts w:cs="Verdana"/>
          <w:szCs w:val="18"/>
        </w:rPr>
      </w:pPr>
      <w:r>
        <w:rPr>
          <w:rFonts w:cs="Verdana"/>
          <w:szCs w:val="18"/>
        </w:rPr>
        <w:t xml:space="preserve">Een “exploitant van cryptoactiva” heeft een </w:t>
      </w:r>
      <w:r w:rsidRPr="00944DB9">
        <w:rPr>
          <w:rFonts w:cs="Verdana"/>
          <w:b/>
          <w:bCs/>
          <w:szCs w:val="18"/>
          <w:u w:val="single"/>
        </w:rPr>
        <w:t>registratieplicht</w:t>
      </w:r>
      <w:r>
        <w:rPr>
          <w:rFonts w:cs="Verdana"/>
          <w:szCs w:val="18"/>
        </w:rPr>
        <w:t xml:space="preserve"> en verstrekt aan onze Minister de volgende gegevens en inlichtingen:</w:t>
      </w:r>
      <w:r w:rsidRPr="00944DB9">
        <w:rPr>
          <w:rFonts w:cs="Verdana"/>
          <w:szCs w:val="18"/>
        </w:rPr>
        <w:t xml:space="preserve"> </w:t>
      </w:r>
    </w:p>
    <w:p w14:paraId="35E2E1EA" w14:textId="69B053B7" w:rsidR="00944DB9" w:rsidRDefault="00944DB9" w:rsidP="00944DB9">
      <w:pPr>
        <w:autoSpaceDE w:val="0"/>
        <w:autoSpaceDN w:val="0"/>
        <w:adjustRightInd w:val="0"/>
        <w:rPr>
          <w:rFonts w:cs="Verdana"/>
          <w:szCs w:val="18"/>
        </w:rPr>
      </w:pPr>
      <w:r>
        <w:rPr>
          <w:rFonts w:cs="Verdana"/>
          <w:szCs w:val="18"/>
        </w:rPr>
        <w:t>a. zijn naam;</w:t>
      </w:r>
    </w:p>
    <w:p w14:paraId="5C019E1B" w14:textId="77777777" w:rsidR="00944DB9" w:rsidRDefault="00944DB9" w:rsidP="00944DB9">
      <w:pPr>
        <w:autoSpaceDE w:val="0"/>
        <w:autoSpaceDN w:val="0"/>
        <w:adjustRightInd w:val="0"/>
        <w:rPr>
          <w:rFonts w:cs="Verdana"/>
          <w:szCs w:val="18"/>
        </w:rPr>
      </w:pPr>
      <w:r>
        <w:rPr>
          <w:rFonts w:cs="Verdana"/>
          <w:szCs w:val="18"/>
        </w:rPr>
        <w:t>b. zijn postadres;</w:t>
      </w:r>
    </w:p>
    <w:p w14:paraId="451B5251" w14:textId="77777777" w:rsidR="00944DB9" w:rsidRDefault="00944DB9" w:rsidP="00944DB9">
      <w:pPr>
        <w:autoSpaceDE w:val="0"/>
        <w:autoSpaceDN w:val="0"/>
        <w:adjustRightInd w:val="0"/>
        <w:rPr>
          <w:rFonts w:cs="Verdana"/>
          <w:szCs w:val="18"/>
        </w:rPr>
      </w:pPr>
      <w:r>
        <w:rPr>
          <w:rFonts w:cs="Verdana"/>
          <w:szCs w:val="18"/>
        </w:rPr>
        <w:t>c. zijn elektronische adressen, met inbegrip van websites;</w:t>
      </w:r>
    </w:p>
    <w:p w14:paraId="4431C577" w14:textId="77777777" w:rsidR="00944DB9" w:rsidRDefault="00944DB9" w:rsidP="00944DB9">
      <w:pPr>
        <w:autoSpaceDE w:val="0"/>
        <w:autoSpaceDN w:val="0"/>
        <w:adjustRightInd w:val="0"/>
        <w:rPr>
          <w:rFonts w:cs="Verdana"/>
          <w:szCs w:val="18"/>
        </w:rPr>
      </w:pPr>
      <w:r>
        <w:rPr>
          <w:rFonts w:cs="Verdana"/>
          <w:szCs w:val="18"/>
        </w:rPr>
        <w:t>d. fiscale identificatienummers die aan hem zijn toegekend;</w:t>
      </w:r>
    </w:p>
    <w:p w14:paraId="4A2947E3" w14:textId="5362DC7F" w:rsidR="00944DB9" w:rsidRDefault="00944DB9" w:rsidP="00944DB9">
      <w:pPr>
        <w:autoSpaceDE w:val="0"/>
        <w:autoSpaceDN w:val="0"/>
        <w:adjustRightInd w:val="0"/>
        <w:rPr>
          <w:rFonts w:cs="Verdana"/>
          <w:szCs w:val="18"/>
        </w:rPr>
      </w:pPr>
      <w:r>
        <w:rPr>
          <w:rFonts w:cs="Verdana"/>
          <w:szCs w:val="18"/>
        </w:rPr>
        <w:t>e. een overzicht van de lidstaten waarvan de te rapporteren gebruikers ingezetenen zijn (als</w:t>
      </w:r>
      <w:r w:rsidR="005B146F">
        <w:rPr>
          <w:rFonts w:cs="Verdana"/>
          <w:szCs w:val="18"/>
        </w:rPr>
        <w:t xml:space="preserve"> </w:t>
      </w:r>
      <w:r>
        <w:rPr>
          <w:rFonts w:cs="Verdana"/>
          <w:szCs w:val="18"/>
        </w:rPr>
        <w:t>bedoeld in bijlage VI, deel III, onderdelen A en B, van Richtlijn 2011/16/EU;) en</w:t>
      </w:r>
    </w:p>
    <w:p w14:paraId="5FA696CE" w14:textId="21E54053" w:rsidR="00944DB9" w:rsidRDefault="00944DB9" w:rsidP="00944DB9">
      <w:pPr>
        <w:autoSpaceDE w:val="0"/>
        <w:autoSpaceDN w:val="0"/>
        <w:adjustRightInd w:val="0"/>
        <w:rPr>
          <w:rFonts w:cs="Verdana"/>
          <w:szCs w:val="18"/>
        </w:rPr>
      </w:pPr>
      <w:r>
        <w:rPr>
          <w:rFonts w:cs="Verdana"/>
          <w:szCs w:val="18"/>
        </w:rPr>
        <w:t>f. een overzicht van elk gekwalificeerd niet-Unierechtsgebied als bedoeld in artikel 10oc, eerste lid,</w:t>
      </w:r>
      <w:r w:rsidR="000256CC">
        <w:rPr>
          <w:rFonts w:cs="Verdana"/>
          <w:szCs w:val="18"/>
        </w:rPr>
        <w:t xml:space="preserve"> </w:t>
      </w:r>
      <w:r>
        <w:rPr>
          <w:rFonts w:cs="Verdana"/>
          <w:szCs w:val="18"/>
        </w:rPr>
        <w:t xml:space="preserve">onderdeel a, tot en met d, of tweede lid als bedoeld in wijzing WIB. </w:t>
      </w:r>
    </w:p>
    <w:p w14:paraId="48D91145" w14:textId="77777777" w:rsidR="005B146F" w:rsidRDefault="005B146F" w:rsidP="00944DB9">
      <w:pPr>
        <w:autoSpaceDE w:val="0"/>
        <w:autoSpaceDN w:val="0"/>
        <w:adjustRightInd w:val="0"/>
        <w:rPr>
          <w:rFonts w:cs="Verdana"/>
          <w:szCs w:val="18"/>
        </w:rPr>
      </w:pPr>
    </w:p>
    <w:p w14:paraId="074158C0" w14:textId="0AC69813" w:rsidR="005B146F" w:rsidRDefault="005B146F" w:rsidP="000256CC">
      <w:pPr>
        <w:autoSpaceDE w:val="0"/>
        <w:autoSpaceDN w:val="0"/>
        <w:adjustRightInd w:val="0"/>
        <w:jc w:val="both"/>
        <w:rPr>
          <w:rFonts w:cs="Verdana"/>
          <w:szCs w:val="18"/>
        </w:rPr>
      </w:pPr>
      <w:r>
        <w:rPr>
          <w:rFonts w:cs="Verdana"/>
          <w:szCs w:val="18"/>
        </w:rPr>
        <w:t>De lidstaat waar de exploitant van cryptoactiva zich registreert, wordt de lidstaat van unieke registratie genoemd. Bij registratie in Nederland</w:t>
      </w:r>
      <w:r w:rsidR="00783662">
        <w:rPr>
          <w:rFonts w:cs="Verdana"/>
          <w:szCs w:val="18"/>
        </w:rPr>
        <w:t>, verstrekt de “exploitant van cry</w:t>
      </w:r>
      <w:r w:rsidR="0053415C">
        <w:rPr>
          <w:rFonts w:cs="Verdana"/>
          <w:szCs w:val="18"/>
        </w:rPr>
        <w:t>p</w:t>
      </w:r>
      <w:r w:rsidR="00783662">
        <w:rPr>
          <w:rFonts w:cs="Verdana"/>
          <w:szCs w:val="18"/>
        </w:rPr>
        <w:t>toactiva” de bovengenoemde gegevens aan onze Min</w:t>
      </w:r>
      <w:r w:rsidR="00BE2809">
        <w:rPr>
          <w:rFonts w:cs="Verdana"/>
          <w:szCs w:val="18"/>
        </w:rPr>
        <w:t>i</w:t>
      </w:r>
      <w:r w:rsidR="00783662">
        <w:rPr>
          <w:rFonts w:cs="Verdana"/>
          <w:szCs w:val="18"/>
        </w:rPr>
        <w:t xml:space="preserve">ster en </w:t>
      </w:r>
      <w:r>
        <w:rPr>
          <w:rFonts w:cs="Verdana"/>
          <w:szCs w:val="18"/>
        </w:rPr>
        <w:t xml:space="preserve">wordt </w:t>
      </w:r>
      <w:r w:rsidR="00783662">
        <w:rPr>
          <w:rFonts w:cs="Verdana"/>
          <w:szCs w:val="18"/>
        </w:rPr>
        <w:t xml:space="preserve">opvolgend </w:t>
      </w:r>
      <w:r>
        <w:rPr>
          <w:rFonts w:cs="Verdana"/>
          <w:szCs w:val="18"/>
        </w:rPr>
        <w:t>aan de</w:t>
      </w:r>
      <w:r w:rsidR="00783662">
        <w:rPr>
          <w:rFonts w:cs="Verdana"/>
          <w:szCs w:val="18"/>
        </w:rPr>
        <w:t>ze</w:t>
      </w:r>
      <w:r>
        <w:rPr>
          <w:rFonts w:cs="Verdana"/>
          <w:szCs w:val="18"/>
        </w:rPr>
        <w:t xml:space="preserve"> rapporterende exploitant van cryptoactiva een </w:t>
      </w:r>
      <w:r w:rsidR="00A13986">
        <w:rPr>
          <w:rFonts w:cs="Verdana"/>
          <w:szCs w:val="18"/>
        </w:rPr>
        <w:t>individueel</w:t>
      </w:r>
      <w:r>
        <w:rPr>
          <w:rFonts w:cs="Verdana"/>
          <w:szCs w:val="18"/>
        </w:rPr>
        <w:t xml:space="preserve"> registratienummer toegekend.</w:t>
      </w:r>
      <w:r w:rsidR="00E102BA">
        <w:rPr>
          <w:rFonts w:cs="Verdana"/>
          <w:szCs w:val="18"/>
        </w:rPr>
        <w:t xml:space="preserve"> Deze informatie komt vervolgens in het “register van exp</w:t>
      </w:r>
      <w:r w:rsidR="00357AA9">
        <w:rPr>
          <w:rFonts w:cs="Verdana"/>
          <w:szCs w:val="18"/>
        </w:rPr>
        <w:t>l</w:t>
      </w:r>
      <w:r w:rsidR="00E102BA">
        <w:rPr>
          <w:rFonts w:cs="Verdana"/>
          <w:szCs w:val="18"/>
        </w:rPr>
        <w:t>oitanten” terecht.</w:t>
      </w:r>
      <w:r w:rsidR="00135C57" w:rsidRPr="00200734">
        <w:rPr>
          <w:rStyle w:val="Voetnootmarkering"/>
          <w:rFonts w:cs="Verdana"/>
          <w:szCs w:val="18"/>
          <w:vertAlign w:val="superscript"/>
        </w:rPr>
        <w:footnoteReference w:id="6"/>
      </w:r>
      <w:r w:rsidRPr="00200734">
        <w:rPr>
          <w:rFonts w:cs="Verdana"/>
          <w:szCs w:val="18"/>
          <w:vertAlign w:val="superscript"/>
        </w:rPr>
        <w:t xml:space="preserve"> </w:t>
      </w:r>
    </w:p>
    <w:p w14:paraId="15DD7146" w14:textId="77777777" w:rsidR="00944DB9" w:rsidRDefault="00944DB9" w:rsidP="00944DB9">
      <w:pPr>
        <w:autoSpaceDE w:val="0"/>
        <w:autoSpaceDN w:val="0"/>
        <w:adjustRightInd w:val="0"/>
        <w:rPr>
          <w:rFonts w:cs="Verdana"/>
          <w:szCs w:val="18"/>
        </w:rPr>
      </w:pPr>
    </w:p>
    <w:p w14:paraId="5B922602" w14:textId="090D78A2" w:rsidR="00AE6051" w:rsidRDefault="00AE6051" w:rsidP="000256CC">
      <w:pPr>
        <w:autoSpaceDE w:val="0"/>
        <w:autoSpaceDN w:val="0"/>
        <w:adjustRightInd w:val="0"/>
        <w:jc w:val="both"/>
        <w:rPr>
          <w:rFonts w:cs="Verdana"/>
          <w:szCs w:val="18"/>
        </w:rPr>
      </w:pPr>
      <w:r>
        <w:rPr>
          <w:rFonts w:cs="Verdana"/>
          <w:szCs w:val="18"/>
        </w:rPr>
        <w:t xml:space="preserve">De mogelijkheid bestaat dat de exploitant van cryptoactiva in meer dan </w:t>
      </w:r>
      <w:r w:rsidR="00624712">
        <w:rPr>
          <w:rFonts w:cs="Verdana"/>
          <w:szCs w:val="18"/>
        </w:rPr>
        <w:t>één</w:t>
      </w:r>
      <w:r>
        <w:rPr>
          <w:rFonts w:cs="Verdana"/>
          <w:szCs w:val="18"/>
        </w:rPr>
        <w:t xml:space="preserve"> lidstaat </w:t>
      </w:r>
      <w:r w:rsidR="00B44806">
        <w:rPr>
          <w:rFonts w:cs="Verdana"/>
          <w:szCs w:val="18"/>
        </w:rPr>
        <w:t xml:space="preserve">(waaronder Nederland) </w:t>
      </w:r>
      <w:r>
        <w:rPr>
          <w:rFonts w:cs="Verdana"/>
          <w:szCs w:val="18"/>
        </w:rPr>
        <w:t>voldoet aan</w:t>
      </w:r>
      <w:r w:rsidR="00624712">
        <w:rPr>
          <w:rFonts w:cs="Verdana"/>
          <w:szCs w:val="18"/>
        </w:rPr>
        <w:t xml:space="preserve"> één van dezelfde voorwaarden van de </w:t>
      </w:r>
      <w:r w:rsidR="00BE2809">
        <w:rPr>
          <w:rFonts w:cs="Verdana"/>
          <w:szCs w:val="18"/>
        </w:rPr>
        <w:t xml:space="preserve">Nexus bepalingen. </w:t>
      </w:r>
      <w:r w:rsidR="006E03E9">
        <w:rPr>
          <w:rFonts w:cs="Verdana"/>
          <w:szCs w:val="18"/>
        </w:rPr>
        <w:t xml:space="preserve">Denk hierbij bijvoorbeeld aan de situatie dat de exploitant van cryptoactiva zowel in Nederland als in België aan voorwaarde 3 </w:t>
      </w:r>
      <w:r w:rsidR="00547038">
        <w:rPr>
          <w:rFonts w:cs="Verdana"/>
          <w:szCs w:val="18"/>
        </w:rPr>
        <w:t>(</w:t>
      </w:r>
      <w:r w:rsidR="00547038" w:rsidRPr="00894DA3">
        <w:rPr>
          <w:rFonts w:cs="Verdana"/>
          <w:szCs w:val="18"/>
        </w:rPr>
        <w:t xml:space="preserve">genoemde voorwaarde onder c paragraaf </w:t>
      </w:r>
      <w:r w:rsidR="00E25DCD" w:rsidRPr="00894DA3">
        <w:rPr>
          <w:rFonts w:cs="Verdana"/>
          <w:szCs w:val="18"/>
        </w:rPr>
        <w:t>3.</w:t>
      </w:r>
      <w:r w:rsidR="00547038" w:rsidRPr="00894DA3">
        <w:rPr>
          <w:rFonts w:cs="Verdana"/>
          <w:szCs w:val="18"/>
        </w:rPr>
        <w:t>1.</w:t>
      </w:r>
      <w:r w:rsidR="00E25DCD" w:rsidRPr="00894DA3">
        <w:rPr>
          <w:rFonts w:cs="Verdana"/>
          <w:szCs w:val="18"/>
        </w:rPr>
        <w:t>5</w:t>
      </w:r>
      <w:r w:rsidR="00547038" w:rsidRPr="00894DA3">
        <w:rPr>
          <w:rFonts w:cs="Verdana"/>
          <w:szCs w:val="18"/>
        </w:rPr>
        <w:t xml:space="preserve">) </w:t>
      </w:r>
      <w:r w:rsidR="006E03E9" w:rsidRPr="00894DA3">
        <w:rPr>
          <w:rFonts w:cs="Verdana"/>
          <w:szCs w:val="18"/>
        </w:rPr>
        <w:t xml:space="preserve">van </w:t>
      </w:r>
      <w:r w:rsidR="00547038" w:rsidRPr="00894DA3">
        <w:rPr>
          <w:rFonts w:cs="Verdana"/>
          <w:szCs w:val="18"/>
        </w:rPr>
        <w:t xml:space="preserve">de </w:t>
      </w:r>
      <w:r w:rsidR="00BE2809" w:rsidRPr="00894DA3">
        <w:rPr>
          <w:rFonts w:cs="Verdana"/>
          <w:szCs w:val="18"/>
        </w:rPr>
        <w:t xml:space="preserve">Nexus bepalingen </w:t>
      </w:r>
      <w:r w:rsidR="006E03E9" w:rsidRPr="00894DA3">
        <w:rPr>
          <w:rFonts w:cs="Verdana"/>
          <w:szCs w:val="18"/>
        </w:rPr>
        <w:t xml:space="preserve">voldoet. </w:t>
      </w:r>
      <w:r w:rsidR="00547038" w:rsidRPr="00894DA3">
        <w:rPr>
          <w:rFonts w:cs="Verdana"/>
          <w:szCs w:val="18"/>
        </w:rPr>
        <w:t>In d</w:t>
      </w:r>
      <w:r w:rsidR="00597478" w:rsidRPr="00894DA3">
        <w:rPr>
          <w:rFonts w:cs="Verdana"/>
          <w:szCs w:val="18"/>
        </w:rPr>
        <w:t>a</w:t>
      </w:r>
      <w:r w:rsidR="00547038" w:rsidRPr="00894DA3">
        <w:rPr>
          <w:rFonts w:cs="Verdana"/>
          <w:szCs w:val="18"/>
        </w:rPr>
        <w:t>t geval kan deze exploitant van cryptoactiv</w:t>
      </w:r>
      <w:r w:rsidR="00547038">
        <w:rPr>
          <w:rFonts w:cs="Verdana"/>
          <w:szCs w:val="18"/>
        </w:rPr>
        <w:t>a er</w:t>
      </w:r>
      <w:r w:rsidR="00BE2809">
        <w:rPr>
          <w:rFonts w:cs="Verdana"/>
          <w:szCs w:val="18"/>
        </w:rPr>
        <w:t>voor</w:t>
      </w:r>
      <w:r w:rsidR="00547038">
        <w:rPr>
          <w:rFonts w:cs="Verdana"/>
          <w:szCs w:val="18"/>
        </w:rPr>
        <w:t xml:space="preserve"> kiezen om zich in Nederland te laten registreren</w:t>
      </w:r>
      <w:r w:rsidR="00547038" w:rsidRPr="00597478">
        <w:rPr>
          <w:rStyle w:val="Voetnootmarkering"/>
          <w:rFonts w:cs="Verdana"/>
          <w:szCs w:val="18"/>
          <w:vertAlign w:val="superscript"/>
        </w:rPr>
        <w:footnoteReference w:id="7"/>
      </w:r>
      <w:r w:rsidR="00547038">
        <w:rPr>
          <w:rFonts w:cs="Verdana"/>
          <w:szCs w:val="18"/>
        </w:rPr>
        <w:t xml:space="preserve">. </w:t>
      </w:r>
      <w:r w:rsidR="00B44806">
        <w:rPr>
          <w:rFonts w:cs="Verdana"/>
          <w:szCs w:val="18"/>
        </w:rPr>
        <w:t>Mocht dit het geval zijn dan moet deze exploitant van cryptoactiva jaarlijks uiterlijk op 31 januari van het kalenderjaar volgend op het jaar waarop de gegevens en inlichtingen betrekking hebben, rapporteren aan de Belastingdienst.</w:t>
      </w:r>
    </w:p>
    <w:p w14:paraId="64E8334E" w14:textId="118C5282" w:rsidR="00944DB9" w:rsidRDefault="00944DB9" w:rsidP="00944DB9">
      <w:pPr>
        <w:pStyle w:val="Kop2"/>
      </w:pPr>
      <w:bookmarkStart w:id="56" w:name="_Toc207732162"/>
      <w:r>
        <w:t>Informatie over de gebruikers van cryptoactivadiensten</w:t>
      </w:r>
      <w:bookmarkEnd w:id="56"/>
    </w:p>
    <w:p w14:paraId="5D4E52D5" w14:textId="76F5E738" w:rsidR="00681F78" w:rsidRDefault="00681F78" w:rsidP="00681F78">
      <w:pPr>
        <w:autoSpaceDE w:val="0"/>
        <w:autoSpaceDN w:val="0"/>
        <w:adjustRightInd w:val="0"/>
        <w:rPr>
          <w:rFonts w:cs="Verdana"/>
          <w:szCs w:val="18"/>
        </w:rPr>
      </w:pPr>
    </w:p>
    <w:p w14:paraId="7D8EA0B6" w14:textId="77777777" w:rsidR="00F25851" w:rsidRPr="00F25851" w:rsidRDefault="00F25851" w:rsidP="00597478">
      <w:pPr>
        <w:autoSpaceDE w:val="0"/>
        <w:autoSpaceDN w:val="0"/>
        <w:adjustRightInd w:val="0"/>
        <w:jc w:val="both"/>
        <w:rPr>
          <w:rFonts w:cs="Verdana"/>
          <w:szCs w:val="18"/>
        </w:rPr>
      </w:pPr>
      <w:r w:rsidRPr="00F25851">
        <w:rPr>
          <w:rFonts w:cs="Verdana"/>
          <w:szCs w:val="18"/>
        </w:rPr>
        <w:t xml:space="preserve">De </w:t>
      </w:r>
      <w:proofErr w:type="spellStart"/>
      <w:r w:rsidRPr="00F25851">
        <w:rPr>
          <w:rFonts w:cs="Verdana"/>
          <w:szCs w:val="18"/>
        </w:rPr>
        <w:t>due</w:t>
      </w:r>
      <w:proofErr w:type="spellEnd"/>
      <w:r w:rsidRPr="00F25851">
        <w:rPr>
          <w:rFonts w:cs="Verdana"/>
          <w:szCs w:val="18"/>
        </w:rPr>
        <w:t xml:space="preserve"> diligence-procedures bouwen voort op het op zelfcertificering gebaseerde proces van de CRS, evenals op de bestaande AML/KYC-verplichtingen die zijn vastgelegd in de FATF-aanbevelingen van 2012, inclusief updates in juni 2019 met betrekking tot verplichtingen die van toepassing zijn op aanbieders van virtuele activadiensten. Voor zover mogelijk en passend zijn de </w:t>
      </w:r>
      <w:proofErr w:type="spellStart"/>
      <w:r w:rsidRPr="00F25851">
        <w:rPr>
          <w:rFonts w:cs="Verdana"/>
          <w:szCs w:val="18"/>
        </w:rPr>
        <w:t>due</w:t>
      </w:r>
      <w:proofErr w:type="spellEnd"/>
      <w:r w:rsidRPr="00F25851">
        <w:rPr>
          <w:rFonts w:cs="Verdana"/>
          <w:szCs w:val="18"/>
        </w:rPr>
        <w:t xml:space="preserve"> diligence-procedures consistent met de CRS-regels voor </w:t>
      </w:r>
      <w:proofErr w:type="spellStart"/>
      <w:r w:rsidRPr="00F25851">
        <w:rPr>
          <w:rFonts w:cs="Verdana"/>
          <w:szCs w:val="18"/>
        </w:rPr>
        <w:t>due</w:t>
      </w:r>
      <w:proofErr w:type="spellEnd"/>
      <w:r w:rsidRPr="00F25851">
        <w:rPr>
          <w:rFonts w:cs="Verdana"/>
          <w:szCs w:val="18"/>
        </w:rPr>
        <w:t xml:space="preserve"> diligence, om de lasten voor rapporterende aanbieders van cryptoactivadiensten te minimaliseren, met name wanneer zij als financiële instellingen ook aan de CRS-verplichtingen onderworpen zijn.</w:t>
      </w:r>
    </w:p>
    <w:p w14:paraId="387F6BE8" w14:textId="77777777" w:rsidR="003D2262" w:rsidRPr="00F25851" w:rsidRDefault="003D2262" w:rsidP="00681F78">
      <w:pPr>
        <w:autoSpaceDE w:val="0"/>
        <w:autoSpaceDN w:val="0"/>
        <w:adjustRightInd w:val="0"/>
        <w:rPr>
          <w:rFonts w:cs="Verdana"/>
          <w:szCs w:val="18"/>
        </w:rPr>
      </w:pPr>
    </w:p>
    <w:p w14:paraId="3A003F64" w14:textId="738BE882" w:rsidR="00DD1476" w:rsidRDefault="003D2262" w:rsidP="00597478">
      <w:pPr>
        <w:autoSpaceDE w:val="0"/>
        <w:autoSpaceDN w:val="0"/>
        <w:adjustRightInd w:val="0"/>
        <w:jc w:val="both"/>
        <w:rPr>
          <w:rFonts w:cs="Verdana"/>
          <w:szCs w:val="18"/>
        </w:rPr>
      </w:pPr>
      <w:r>
        <w:rPr>
          <w:rFonts w:cs="Verdana"/>
          <w:szCs w:val="18"/>
        </w:rPr>
        <w:t>Onder gebruikers van cryptoactiva wordt verstaan een natuurlijk persoon of een entiteit die een klant is van een rapporter</w:t>
      </w:r>
      <w:r w:rsidR="00ED0B74">
        <w:rPr>
          <w:rFonts w:cs="Verdana"/>
          <w:szCs w:val="18"/>
        </w:rPr>
        <w:t>en</w:t>
      </w:r>
      <w:r>
        <w:rPr>
          <w:rFonts w:cs="Verdana"/>
          <w:szCs w:val="18"/>
        </w:rPr>
        <w:t xml:space="preserve">de aanbieder van cryptoactivadiensten. </w:t>
      </w:r>
      <w:r w:rsidR="00CC7CFF">
        <w:rPr>
          <w:rFonts w:cs="Verdana"/>
          <w:szCs w:val="18"/>
        </w:rPr>
        <w:lastRenderedPageBreak/>
        <w:t xml:space="preserve">In het geval een  gebruiker een entiteit is met natuurlijke personen als </w:t>
      </w:r>
      <w:r w:rsidR="009E4462" w:rsidRPr="00563783">
        <w:rPr>
          <w:rFonts w:cs="Verdana"/>
          <w:i/>
          <w:iCs/>
          <w:szCs w:val="18"/>
        </w:rPr>
        <w:t xml:space="preserve">uiteindelijk </w:t>
      </w:r>
      <w:r w:rsidR="00CC7CFF" w:rsidRPr="00563783">
        <w:rPr>
          <w:rFonts w:cs="Verdana"/>
          <w:i/>
          <w:iCs/>
          <w:szCs w:val="18"/>
        </w:rPr>
        <w:t>belanghebbende</w:t>
      </w:r>
      <w:r w:rsidR="00CC7CFF">
        <w:rPr>
          <w:rFonts w:cs="Verdana"/>
          <w:szCs w:val="18"/>
        </w:rPr>
        <w:t xml:space="preserve">, dienen de rapporterende </w:t>
      </w:r>
      <w:r w:rsidR="003D529C">
        <w:rPr>
          <w:rFonts w:cs="Verdana"/>
          <w:szCs w:val="18"/>
        </w:rPr>
        <w:t xml:space="preserve">aanbieders </w:t>
      </w:r>
      <w:r w:rsidR="00CC7CFF">
        <w:rPr>
          <w:rFonts w:cs="Verdana"/>
          <w:szCs w:val="18"/>
        </w:rPr>
        <w:t>ook gegevens over hen te verstrekken.</w:t>
      </w:r>
      <w:r w:rsidR="00DD1476">
        <w:rPr>
          <w:rFonts w:cs="Verdana"/>
          <w:szCs w:val="18"/>
        </w:rPr>
        <w:t xml:space="preserve"> Deze informatie betreft gegevens om de identiteit van de gebruikers en de </w:t>
      </w:r>
      <w:r w:rsidR="00165F92">
        <w:rPr>
          <w:rFonts w:cs="Verdana"/>
          <w:szCs w:val="18"/>
        </w:rPr>
        <w:t>uiteindelijk belanghebbende(n) (‘</w:t>
      </w:r>
      <w:proofErr w:type="spellStart"/>
      <w:r w:rsidR="00DD1476">
        <w:rPr>
          <w:rFonts w:cs="Verdana"/>
          <w:szCs w:val="18"/>
        </w:rPr>
        <w:t>UBO’s</w:t>
      </w:r>
      <w:proofErr w:type="spellEnd"/>
      <w:r w:rsidR="00165F92">
        <w:rPr>
          <w:rFonts w:cs="Verdana"/>
          <w:szCs w:val="18"/>
        </w:rPr>
        <w:t>)</w:t>
      </w:r>
      <w:r w:rsidR="00DD1476">
        <w:rPr>
          <w:rFonts w:cs="Verdana"/>
          <w:szCs w:val="18"/>
        </w:rPr>
        <w:t xml:space="preserve"> vast te kunnen stellen. </w:t>
      </w:r>
    </w:p>
    <w:p w14:paraId="4C781D05" w14:textId="77777777" w:rsidR="00DD1476" w:rsidRDefault="00DD1476" w:rsidP="00CC7CFF">
      <w:pPr>
        <w:autoSpaceDE w:val="0"/>
        <w:autoSpaceDN w:val="0"/>
        <w:adjustRightInd w:val="0"/>
        <w:rPr>
          <w:rFonts w:cs="Verdana"/>
          <w:szCs w:val="18"/>
        </w:rPr>
      </w:pPr>
    </w:p>
    <w:p w14:paraId="73D87BB0" w14:textId="6A5040F1" w:rsidR="00DD1476" w:rsidRDefault="003D2262" w:rsidP="00597478">
      <w:pPr>
        <w:autoSpaceDE w:val="0"/>
        <w:autoSpaceDN w:val="0"/>
        <w:adjustRightInd w:val="0"/>
        <w:jc w:val="both"/>
        <w:rPr>
          <w:rFonts w:cs="Verdana"/>
          <w:szCs w:val="18"/>
        </w:rPr>
      </w:pPr>
      <w:r>
        <w:rPr>
          <w:rFonts w:cs="Verdana"/>
          <w:szCs w:val="18"/>
        </w:rPr>
        <w:t xml:space="preserve">Een natuurlijk persoon of </w:t>
      </w:r>
      <w:r w:rsidR="000C3D3C">
        <w:rPr>
          <w:rFonts w:cs="Verdana"/>
          <w:szCs w:val="18"/>
        </w:rPr>
        <w:t>e</w:t>
      </w:r>
      <w:r>
        <w:rPr>
          <w:rFonts w:cs="Verdana"/>
          <w:szCs w:val="18"/>
        </w:rPr>
        <w:t xml:space="preserve">ntiteit </w:t>
      </w:r>
      <w:r w:rsidR="00597478">
        <w:rPr>
          <w:rFonts w:cs="Verdana"/>
          <w:szCs w:val="18"/>
        </w:rPr>
        <w:t>-</w:t>
      </w:r>
      <w:r w:rsidR="00CC7CFF">
        <w:rPr>
          <w:rFonts w:cs="Verdana"/>
          <w:szCs w:val="18"/>
        </w:rPr>
        <w:t>niet zijnde een financiële instelling of rapporterende aanbieder van cryptoactivadiensten</w:t>
      </w:r>
      <w:r w:rsidR="00597478">
        <w:rPr>
          <w:rFonts w:cs="Verdana"/>
          <w:szCs w:val="18"/>
        </w:rPr>
        <w:t>-</w:t>
      </w:r>
      <w:r w:rsidR="00CC7CFF">
        <w:rPr>
          <w:rFonts w:cs="Verdana"/>
          <w:szCs w:val="18"/>
        </w:rPr>
        <w:t xml:space="preserve"> </w:t>
      </w:r>
      <w:r>
        <w:rPr>
          <w:rFonts w:cs="Verdana"/>
          <w:szCs w:val="18"/>
        </w:rPr>
        <w:t xml:space="preserve">die als gebruiker van cryptoactiva ten behoeve of voor rekening van een andere natuurlijk persoon of entiteit optreedt als </w:t>
      </w:r>
      <w:r w:rsidR="00CC7CFF">
        <w:rPr>
          <w:rFonts w:cs="Verdana"/>
          <w:szCs w:val="18"/>
        </w:rPr>
        <w:t xml:space="preserve">agent, bewaarnemer, gevolmachtigde, ondertekenaar, beleggingsadviseur of tussenpersoon, wordt niet als gebruiker van cryptoactiva behandeld. Die andere natuurlijk persoon of entiteit wordt dan als gebruiker behandeld.  </w:t>
      </w:r>
    </w:p>
    <w:p w14:paraId="5B9BBE84" w14:textId="77777777" w:rsidR="00DD1476" w:rsidRDefault="00DD1476" w:rsidP="00681F78">
      <w:pPr>
        <w:autoSpaceDE w:val="0"/>
        <w:autoSpaceDN w:val="0"/>
        <w:adjustRightInd w:val="0"/>
        <w:rPr>
          <w:rFonts w:cs="Verdana"/>
          <w:szCs w:val="18"/>
        </w:rPr>
      </w:pPr>
    </w:p>
    <w:p w14:paraId="64283100" w14:textId="3C16435E" w:rsidR="00A4312F" w:rsidRDefault="00284995" w:rsidP="00681F78">
      <w:pPr>
        <w:autoSpaceDE w:val="0"/>
        <w:autoSpaceDN w:val="0"/>
        <w:adjustRightInd w:val="0"/>
        <w:rPr>
          <w:rFonts w:cs="Verdana"/>
          <w:b/>
          <w:bCs/>
          <w:szCs w:val="18"/>
        </w:rPr>
      </w:pPr>
      <w:r w:rsidRPr="00B83E56">
        <w:rPr>
          <w:rFonts w:cs="Verdana"/>
          <w:b/>
          <w:bCs/>
          <w:szCs w:val="18"/>
        </w:rPr>
        <w:t>Rollen</w:t>
      </w:r>
      <w:r w:rsidR="00A4312F">
        <w:rPr>
          <w:rFonts w:cs="Verdana"/>
          <w:b/>
          <w:bCs/>
          <w:szCs w:val="18"/>
        </w:rPr>
        <w:t xml:space="preserve"> </w:t>
      </w:r>
      <w:r w:rsidR="000C3D3C">
        <w:rPr>
          <w:rFonts w:cs="Verdana"/>
          <w:b/>
          <w:bCs/>
          <w:szCs w:val="18"/>
        </w:rPr>
        <w:t xml:space="preserve">uiteindelijk belanghebbenden </w:t>
      </w:r>
    </w:p>
    <w:p w14:paraId="35005169" w14:textId="77777777" w:rsidR="00C95FB9" w:rsidRDefault="00C95FB9" w:rsidP="00681F78">
      <w:pPr>
        <w:autoSpaceDE w:val="0"/>
        <w:autoSpaceDN w:val="0"/>
        <w:adjustRightInd w:val="0"/>
        <w:rPr>
          <w:rFonts w:cs="Verdana"/>
          <w:b/>
          <w:bCs/>
          <w:szCs w:val="18"/>
        </w:rPr>
      </w:pPr>
    </w:p>
    <w:p w14:paraId="2612D20C" w14:textId="3D233C93" w:rsidR="00A4312F" w:rsidRDefault="00C95FB9" w:rsidP="00894DA3">
      <w:pPr>
        <w:autoSpaceDE w:val="0"/>
        <w:autoSpaceDN w:val="0"/>
        <w:adjustRightInd w:val="0"/>
        <w:jc w:val="both"/>
        <w:rPr>
          <w:rFonts w:cs="Verdana"/>
          <w:b/>
          <w:bCs/>
          <w:szCs w:val="18"/>
        </w:rPr>
      </w:pPr>
      <w:r w:rsidRPr="00C95FB9">
        <w:rPr>
          <w:rFonts w:cs="Verdana"/>
          <w:szCs w:val="18"/>
        </w:rPr>
        <w:t xml:space="preserve">De rollen op grond waarvan elke te rapporteren persoon een uiteindelijk </w:t>
      </w:r>
      <w:r w:rsidRPr="000C3D3C">
        <w:rPr>
          <w:rFonts w:cs="Verdana"/>
          <w:szCs w:val="18"/>
        </w:rPr>
        <w:t xml:space="preserve">belanghebbende </w:t>
      </w:r>
      <w:r w:rsidR="00F262C6" w:rsidRPr="000C3D3C">
        <w:rPr>
          <w:rFonts w:cs="Verdana"/>
          <w:szCs w:val="18"/>
        </w:rPr>
        <w:t xml:space="preserve">(zogenoemde Controlling Person) </w:t>
      </w:r>
      <w:r w:rsidRPr="000C3D3C">
        <w:rPr>
          <w:rFonts w:cs="Verdana"/>
          <w:szCs w:val="18"/>
        </w:rPr>
        <w:t xml:space="preserve">van de entiteit is, </w:t>
      </w:r>
      <w:r w:rsidR="00367FB2" w:rsidRPr="000C3D3C">
        <w:rPr>
          <w:rFonts w:cs="Verdana"/>
          <w:szCs w:val="18"/>
        </w:rPr>
        <w:t xml:space="preserve">dienen aan de Belastingdienst te </w:t>
      </w:r>
      <w:r w:rsidRPr="000C3D3C">
        <w:rPr>
          <w:rFonts w:cs="Verdana"/>
          <w:szCs w:val="18"/>
        </w:rPr>
        <w:t xml:space="preserve">worden </w:t>
      </w:r>
      <w:r w:rsidR="00367FB2" w:rsidRPr="000C3D3C">
        <w:rPr>
          <w:rFonts w:cs="Verdana"/>
          <w:szCs w:val="18"/>
        </w:rPr>
        <w:t>gerapporteerd</w:t>
      </w:r>
      <w:r w:rsidR="003555BD" w:rsidRPr="000C3D3C">
        <w:rPr>
          <w:rFonts w:cs="Verdana"/>
          <w:szCs w:val="18"/>
        </w:rPr>
        <w:t>.</w:t>
      </w:r>
      <w:r w:rsidR="008D3C54" w:rsidRPr="000C3D3C">
        <w:rPr>
          <w:rStyle w:val="Voetnootmarkering"/>
          <w:rFonts w:cs="Verdana"/>
          <w:szCs w:val="18"/>
          <w:vertAlign w:val="superscript"/>
        </w:rPr>
        <w:footnoteReference w:id="8"/>
      </w:r>
      <w:r w:rsidR="00F262C6" w:rsidRPr="000C3D3C">
        <w:rPr>
          <w:rFonts w:cs="Verdana"/>
          <w:szCs w:val="18"/>
          <w:vertAlign w:val="superscript"/>
        </w:rPr>
        <w:t xml:space="preserve"> </w:t>
      </w:r>
      <w:r w:rsidR="00F262C6" w:rsidRPr="000C3D3C">
        <w:rPr>
          <w:rFonts w:cs="Verdana"/>
          <w:szCs w:val="18"/>
        </w:rPr>
        <w:t xml:space="preserve">Voor de rapportagejaren 2026 en 2027 dienen de gegevens inzake de </w:t>
      </w:r>
      <w:r w:rsidR="000C3D3C">
        <w:rPr>
          <w:rFonts w:cs="Verdana"/>
          <w:szCs w:val="18"/>
        </w:rPr>
        <w:t>rollen van de uiteindelijk belanghebbenden</w:t>
      </w:r>
      <w:r w:rsidR="00F262C6" w:rsidRPr="000C3D3C">
        <w:rPr>
          <w:rFonts w:cs="Verdana"/>
          <w:szCs w:val="18"/>
        </w:rPr>
        <w:t xml:space="preserve"> uitsluitend te worden gerapporteerd indien de gegevens beschikbaar zijn in de elektronisch doorzoekbare gegevens die door de rapporterende financiële instelling worden beheerd.</w:t>
      </w:r>
      <w:r w:rsidR="00F262C6" w:rsidRPr="000C3D3C">
        <w:rPr>
          <w:rStyle w:val="Voetnootmarkering"/>
          <w:rFonts w:cs="Verdana"/>
          <w:szCs w:val="18"/>
          <w:vertAlign w:val="superscript"/>
        </w:rPr>
        <w:footnoteReference w:id="9"/>
      </w:r>
      <w:r w:rsidR="00F262C6" w:rsidRPr="00597478">
        <w:rPr>
          <w:rFonts w:cs="Verdana"/>
          <w:szCs w:val="18"/>
          <w:vertAlign w:val="superscript"/>
        </w:rPr>
        <w:t xml:space="preserve"> </w:t>
      </w:r>
      <w:r w:rsidR="00F262C6">
        <w:rPr>
          <w:rFonts w:cs="Verdana"/>
          <w:szCs w:val="18"/>
        </w:rPr>
        <w:t xml:space="preserve"> </w:t>
      </w:r>
    </w:p>
    <w:p w14:paraId="389A23BD" w14:textId="77777777" w:rsidR="00E25DCD" w:rsidRPr="00386E3F" w:rsidRDefault="00E25DCD" w:rsidP="00E25DCD">
      <w:pPr>
        <w:pStyle w:val="Kop2"/>
      </w:pPr>
      <w:bookmarkStart w:id="57" w:name="_Toc207732163"/>
      <w:r>
        <w:t>Welke cryptoactiva valt binnen de reikwijdte van DAC8/CARF?</w:t>
      </w:r>
      <w:bookmarkEnd w:id="57"/>
    </w:p>
    <w:p w14:paraId="0C59CFF2" w14:textId="77777777" w:rsidR="00E25DCD" w:rsidRDefault="00E25DCD" w:rsidP="00E25DCD">
      <w:pPr>
        <w:jc w:val="both"/>
        <w:rPr>
          <w:szCs w:val="18"/>
        </w:rPr>
      </w:pPr>
      <w:r>
        <w:t xml:space="preserve">Zowel DAC8 als het CARF hanteren een ruime definitie van cryptoactiva. </w:t>
      </w:r>
      <w:r>
        <w:rPr>
          <w:szCs w:val="18"/>
        </w:rPr>
        <w:t xml:space="preserve">Onder cryptoactivum wordt verstaan een digitale weergave van een waarde of een recht dat elektronisch kan worden overgedragen en opgeslagen met gebruikmaking van </w:t>
      </w:r>
      <w:proofErr w:type="spellStart"/>
      <w:r>
        <w:rPr>
          <w:szCs w:val="18"/>
        </w:rPr>
        <w:t>distributed-ledger</w:t>
      </w:r>
      <w:proofErr w:type="spellEnd"/>
      <w:r>
        <w:rPr>
          <w:szCs w:val="18"/>
        </w:rPr>
        <w:t xml:space="preserve"> technologie of soortgelijke technologie. Onder </w:t>
      </w:r>
      <w:proofErr w:type="spellStart"/>
      <w:r>
        <w:rPr>
          <w:szCs w:val="18"/>
        </w:rPr>
        <w:t>distributed-ledger</w:t>
      </w:r>
      <w:proofErr w:type="spellEnd"/>
      <w:r>
        <w:rPr>
          <w:szCs w:val="18"/>
        </w:rPr>
        <w:t xml:space="preserve">- technologie (DLT) wordt verstaan een technologie die de werking en het gebruik van </w:t>
      </w:r>
      <w:proofErr w:type="spellStart"/>
      <w:r>
        <w:rPr>
          <w:szCs w:val="18"/>
        </w:rPr>
        <w:t>distributed-ledgers</w:t>
      </w:r>
      <w:proofErr w:type="spellEnd"/>
      <w:r>
        <w:rPr>
          <w:szCs w:val="18"/>
        </w:rPr>
        <w:t xml:space="preserve"> mogelijk maakt. Onder </w:t>
      </w:r>
      <w:proofErr w:type="spellStart"/>
      <w:r>
        <w:rPr>
          <w:szCs w:val="18"/>
        </w:rPr>
        <w:t>distributed-ledgers</w:t>
      </w:r>
      <w:proofErr w:type="spellEnd"/>
      <w:r>
        <w:rPr>
          <w:szCs w:val="18"/>
        </w:rPr>
        <w:t xml:space="preserve"> wordt verstaan een informatieopslagplaats waar afschriften van transacties worden geregistreerd en die wordt gedeeld over en gesynchroniseerd tussen een reeks DLT-netwerkknooppunten door middel van een “</w:t>
      </w:r>
      <w:proofErr w:type="spellStart"/>
      <w:r>
        <w:rPr>
          <w:szCs w:val="18"/>
        </w:rPr>
        <w:t>consesusmechanisme</w:t>
      </w:r>
      <w:proofErr w:type="spellEnd"/>
      <w:r>
        <w:rPr>
          <w:szCs w:val="18"/>
        </w:rPr>
        <w:t xml:space="preserve">”. Onder dit laatste wordt verstaan: de regels en procedures waarmee tussen de DTL-netwerkknooppunten wordt overeengekomen dat de transactie wordt gevalideerd. De voorgaande definities zijn ontleend aan de EU-verordening inzake </w:t>
      </w:r>
      <w:proofErr w:type="spellStart"/>
      <w:r>
        <w:rPr>
          <w:szCs w:val="18"/>
        </w:rPr>
        <w:t>cryptoactivamarkten</w:t>
      </w:r>
      <w:proofErr w:type="spellEnd"/>
      <w:r>
        <w:rPr>
          <w:szCs w:val="18"/>
        </w:rPr>
        <w:t>.</w:t>
      </w:r>
    </w:p>
    <w:p w14:paraId="6C8B38EC" w14:textId="77777777" w:rsidR="00E25DCD" w:rsidRDefault="00E25DCD" w:rsidP="00E25DCD"/>
    <w:p w14:paraId="3413B6E9" w14:textId="77777777" w:rsidR="00E25DCD" w:rsidRDefault="00E25DCD" w:rsidP="00E25DCD">
      <w:r>
        <w:t xml:space="preserve">Te rapporteren cryptoactiva zijn </w:t>
      </w:r>
      <w:r w:rsidRPr="00747095">
        <w:rPr>
          <w:b/>
          <w:bCs/>
        </w:rPr>
        <w:t xml:space="preserve">alle cryptoactiva </w:t>
      </w:r>
      <w:r>
        <w:t xml:space="preserve">met uitzondering van: </w:t>
      </w:r>
    </w:p>
    <w:p w14:paraId="735CE82D" w14:textId="77777777" w:rsidR="00E25DCD" w:rsidRDefault="00E25DCD" w:rsidP="00E25DCD">
      <w:pPr>
        <w:pStyle w:val="Lijstalinea"/>
        <w:numPr>
          <w:ilvl w:val="0"/>
          <w:numId w:val="23"/>
        </w:numPr>
        <w:ind w:left="357" w:hanging="357"/>
      </w:pPr>
      <w:r>
        <w:t xml:space="preserve">digitale </w:t>
      </w:r>
      <w:proofErr w:type="spellStart"/>
      <w:r>
        <w:t>centralebankmunten</w:t>
      </w:r>
      <w:proofErr w:type="spellEnd"/>
      <w:r>
        <w:t xml:space="preserve">; </w:t>
      </w:r>
    </w:p>
    <w:p w14:paraId="4E43F6E4" w14:textId="77777777" w:rsidR="00E25DCD" w:rsidRDefault="00E25DCD" w:rsidP="00E25DCD">
      <w:pPr>
        <w:pStyle w:val="Lijstalinea"/>
        <w:numPr>
          <w:ilvl w:val="0"/>
          <w:numId w:val="23"/>
        </w:numPr>
        <w:ind w:left="357" w:hanging="357"/>
      </w:pPr>
      <w:r>
        <w:t xml:space="preserve">Bepaalde e-money producten; of </w:t>
      </w:r>
    </w:p>
    <w:p w14:paraId="20635C13" w14:textId="77777777" w:rsidR="00E25DCD" w:rsidRDefault="00E25DCD" w:rsidP="00E25DCD">
      <w:pPr>
        <w:pStyle w:val="Lijstalinea"/>
        <w:numPr>
          <w:ilvl w:val="0"/>
          <w:numId w:val="23"/>
        </w:numPr>
        <w:ind w:left="357" w:hanging="357"/>
      </w:pPr>
      <w:r>
        <w:t>cryptoactiva die niet gebruikt kunnen worden voor betalings- of investeringsdoeleinden.</w:t>
      </w:r>
    </w:p>
    <w:p w14:paraId="1ED0172D" w14:textId="77777777" w:rsidR="00E25DCD" w:rsidRDefault="00E25DCD" w:rsidP="00E25DCD"/>
    <w:p w14:paraId="534E0954" w14:textId="77777777" w:rsidR="00165F92" w:rsidRDefault="00E25DCD" w:rsidP="000C3D3C">
      <w:pPr>
        <w:jc w:val="both"/>
      </w:pPr>
      <w:r>
        <w:t xml:space="preserve">Digitale </w:t>
      </w:r>
      <w:proofErr w:type="spellStart"/>
      <w:r>
        <w:t>centralebankmunten</w:t>
      </w:r>
      <w:proofErr w:type="spellEnd"/>
      <w:r>
        <w:t xml:space="preserve"> (de zogenoemde </w:t>
      </w:r>
      <w:proofErr w:type="spellStart"/>
      <w:r>
        <w:t>CBDC’s</w:t>
      </w:r>
      <w:proofErr w:type="spellEnd"/>
      <w:r w:rsidRPr="009723D4">
        <w:rPr>
          <w:rStyle w:val="Voetnootmarkering"/>
          <w:vertAlign w:val="superscript"/>
        </w:rPr>
        <w:footnoteReference w:id="10"/>
      </w:r>
      <w:r>
        <w:t xml:space="preserve">) en bepaalde e-money producten dienen overigens wel onder CRS te worden gerapporteerd. </w:t>
      </w:r>
      <w:r w:rsidR="00C73085" w:rsidRPr="00C73085">
        <w:t>Datzelfde geldt voor indirecte investeringen in cryptoac</w:t>
      </w:r>
      <w:r w:rsidR="00C73085">
        <w:t>ti</w:t>
      </w:r>
      <w:r w:rsidR="00C73085" w:rsidRPr="00C73085">
        <w:t>va en crypto derivaten.</w:t>
      </w:r>
      <w:r w:rsidR="00C73085">
        <w:t xml:space="preserve"> </w:t>
      </w:r>
      <w:r>
        <w:t xml:space="preserve">Verwezen wordt naar de Handleiding Bank- en Beleggingsproducten van toepassing. </w:t>
      </w:r>
    </w:p>
    <w:p w14:paraId="35D04EBF" w14:textId="330F7AA2" w:rsidR="00681F78" w:rsidRPr="00681F78" w:rsidRDefault="00165F92" w:rsidP="000C3D3C">
      <w:pPr>
        <w:jc w:val="both"/>
        <w:rPr>
          <w:rFonts w:cs="Verdana"/>
          <w:szCs w:val="18"/>
        </w:rPr>
      </w:pPr>
      <w:r>
        <w:t>Z</w:t>
      </w:r>
      <w:r w:rsidR="00E25DCD">
        <w:t xml:space="preserve">ie </w:t>
      </w:r>
      <w:hyperlink r:id="rId13" w:history="1">
        <w:r w:rsidR="00E25DCD" w:rsidRPr="00F3538D">
          <w:rPr>
            <w:rStyle w:val="Hyperlink"/>
          </w:rPr>
          <w:t>https://odb.belastingdienst.nl/bankproducten</w:t>
        </w:r>
      </w:hyperlink>
      <w:r w:rsidR="00E25DCD">
        <w:t>.</w:t>
      </w:r>
    </w:p>
    <w:p w14:paraId="3DE767B4" w14:textId="00D5D99D" w:rsidR="00E46B00" w:rsidRPr="00DC1F9B" w:rsidRDefault="00DC1F9B" w:rsidP="00CD0C9A">
      <w:pPr>
        <w:pStyle w:val="Kop2"/>
        <w:autoSpaceDE w:val="0"/>
        <w:autoSpaceDN w:val="0"/>
        <w:adjustRightInd w:val="0"/>
        <w:rPr>
          <w:rFonts w:cs="ArialUnicodeMS_PDF_Subset"/>
          <w:szCs w:val="18"/>
        </w:rPr>
      </w:pPr>
      <w:bookmarkStart w:id="58" w:name="_Toc449610391"/>
      <w:bookmarkStart w:id="59" w:name="_Toc207732164"/>
      <w:r>
        <w:t xml:space="preserve">Te rapporteren transacties door </w:t>
      </w:r>
      <w:bookmarkEnd w:id="58"/>
      <w:r w:rsidR="00E46B00">
        <w:t>rapporterende aanbieders van</w:t>
      </w:r>
      <w:r w:rsidR="00CD0C9A">
        <w:t xml:space="preserve"> </w:t>
      </w:r>
      <w:r w:rsidR="00E46B00">
        <w:t>cryptoactivadiensten</w:t>
      </w:r>
      <w:bookmarkEnd w:id="59"/>
    </w:p>
    <w:p w14:paraId="54C8C2AB" w14:textId="73F102F3" w:rsidR="00382DF2" w:rsidRDefault="00597478" w:rsidP="00597478">
      <w:pPr>
        <w:autoSpaceDE w:val="0"/>
        <w:autoSpaceDN w:val="0"/>
        <w:adjustRightInd w:val="0"/>
        <w:jc w:val="both"/>
        <w:rPr>
          <w:rFonts w:cs="ArialUnicodeMS_PDF_Subset"/>
          <w:szCs w:val="18"/>
        </w:rPr>
      </w:pPr>
      <w:bookmarkStart w:id="60" w:name="_Hlk198729358"/>
      <w:r>
        <w:rPr>
          <w:rFonts w:cs="ArialUnicodeMS_PDF_Subset"/>
          <w:szCs w:val="18"/>
        </w:rPr>
        <w:t>Een</w:t>
      </w:r>
      <w:r w:rsidR="00382DF2">
        <w:rPr>
          <w:rFonts w:cs="ArialUnicodeMS_PDF_Subset"/>
          <w:szCs w:val="18"/>
        </w:rPr>
        <w:t xml:space="preserve"> te rapporteren transactie omvat elke </w:t>
      </w:r>
      <w:r>
        <w:rPr>
          <w:rFonts w:cs="ArialUnicodeMS_PDF_Subset"/>
          <w:szCs w:val="18"/>
        </w:rPr>
        <w:t>om</w:t>
      </w:r>
      <w:r w:rsidR="00382DF2">
        <w:rPr>
          <w:rFonts w:cs="ArialUnicodeMS_PDF_Subset"/>
          <w:szCs w:val="18"/>
        </w:rPr>
        <w:t xml:space="preserve">wisseltransactie, elke </w:t>
      </w:r>
      <w:r w:rsidR="005A5CF7">
        <w:rPr>
          <w:rFonts w:cs="ArialUnicodeMS_PDF_Subset"/>
          <w:szCs w:val="18"/>
        </w:rPr>
        <w:t xml:space="preserve">overboeking </w:t>
      </w:r>
      <w:r w:rsidR="00382DF2">
        <w:rPr>
          <w:rFonts w:cs="ArialUnicodeMS_PDF_Subset"/>
          <w:szCs w:val="18"/>
        </w:rPr>
        <w:t xml:space="preserve">inclusief te rapporteren </w:t>
      </w:r>
      <w:proofErr w:type="spellStart"/>
      <w:r w:rsidR="00382DF2">
        <w:rPr>
          <w:rFonts w:cs="ArialUnicodeMS_PDF_Subset"/>
          <w:szCs w:val="18"/>
        </w:rPr>
        <w:t>retailbetalingstransacties</w:t>
      </w:r>
      <w:proofErr w:type="spellEnd"/>
      <w:r w:rsidR="005A5CF7">
        <w:rPr>
          <w:rFonts w:cs="ArialUnicodeMS_PDF_Subset"/>
          <w:szCs w:val="18"/>
        </w:rPr>
        <w:t xml:space="preserve"> en overboekingen naar </w:t>
      </w:r>
      <w:proofErr w:type="spellStart"/>
      <w:r w:rsidR="005A5CF7">
        <w:rPr>
          <w:rFonts w:cs="ArialUnicodeMS_PDF_Subset"/>
          <w:szCs w:val="18"/>
        </w:rPr>
        <w:t>wallet</w:t>
      </w:r>
      <w:r w:rsidR="00745796">
        <w:rPr>
          <w:rFonts w:cs="ArialUnicodeMS_PDF_Subset"/>
          <w:szCs w:val="18"/>
        </w:rPr>
        <w:t>adressen</w:t>
      </w:r>
      <w:proofErr w:type="spellEnd"/>
      <w:r w:rsidR="005A5CF7">
        <w:rPr>
          <w:rFonts w:cs="ArialUnicodeMS_PDF_Subset"/>
          <w:szCs w:val="18"/>
        </w:rPr>
        <w:t xml:space="preserve"> waarvan de cryptodienstverlener niet heeft kunnen vaststellen dat deze worden aangehouden bij een andere cryptodienstverlener.</w:t>
      </w:r>
    </w:p>
    <w:p w14:paraId="433CD9AE" w14:textId="77777777" w:rsidR="00382DF2" w:rsidRDefault="00382DF2" w:rsidP="00F7438C">
      <w:pPr>
        <w:autoSpaceDE w:val="0"/>
        <w:autoSpaceDN w:val="0"/>
        <w:adjustRightInd w:val="0"/>
        <w:rPr>
          <w:rFonts w:cs="ArialUnicodeMS_PDF_Subset"/>
          <w:szCs w:val="18"/>
        </w:rPr>
      </w:pPr>
    </w:p>
    <w:p w14:paraId="64AB5026" w14:textId="77777777" w:rsidR="00597478" w:rsidRDefault="00382DF2" w:rsidP="00F7438C">
      <w:pPr>
        <w:autoSpaceDE w:val="0"/>
        <w:autoSpaceDN w:val="0"/>
        <w:adjustRightInd w:val="0"/>
        <w:rPr>
          <w:rFonts w:cs="ArialUnicodeMS_PDF_Subset"/>
          <w:szCs w:val="18"/>
        </w:rPr>
      </w:pPr>
      <w:r>
        <w:rPr>
          <w:rFonts w:cs="ArialUnicodeMS_PDF_Subset"/>
          <w:szCs w:val="18"/>
        </w:rPr>
        <w:lastRenderedPageBreak/>
        <w:t xml:space="preserve">Onder </w:t>
      </w:r>
      <w:r w:rsidR="00597478">
        <w:rPr>
          <w:rFonts w:cs="ArialUnicodeMS_PDF_Subset"/>
          <w:szCs w:val="18"/>
        </w:rPr>
        <w:t>om</w:t>
      </w:r>
      <w:r>
        <w:rPr>
          <w:rFonts w:cs="ArialUnicodeMS_PDF_Subset"/>
          <w:szCs w:val="18"/>
        </w:rPr>
        <w:t xml:space="preserve">wisseltransactie wordt verstaan: </w:t>
      </w:r>
    </w:p>
    <w:p w14:paraId="72129025" w14:textId="6D1FF466" w:rsidR="00597478" w:rsidRPr="00597478" w:rsidRDefault="00597478" w:rsidP="00597478">
      <w:pPr>
        <w:pStyle w:val="Lijstalinea"/>
        <w:numPr>
          <w:ilvl w:val="2"/>
          <w:numId w:val="27"/>
        </w:numPr>
        <w:autoSpaceDE w:val="0"/>
        <w:autoSpaceDN w:val="0"/>
        <w:adjustRightInd w:val="0"/>
        <w:ind w:left="357" w:hanging="357"/>
        <w:rPr>
          <w:rFonts w:cs="ArialUnicodeMS_PDF_Subset"/>
          <w:szCs w:val="18"/>
        </w:rPr>
      </w:pPr>
      <w:r w:rsidRPr="00597478">
        <w:rPr>
          <w:rFonts w:cs="ArialUnicodeMS_PDF_Subset"/>
          <w:szCs w:val="18"/>
        </w:rPr>
        <w:t>omw</w:t>
      </w:r>
      <w:r w:rsidR="00382DF2" w:rsidRPr="00597478">
        <w:rPr>
          <w:rFonts w:cs="ArialUnicodeMS_PDF_Subset"/>
          <w:szCs w:val="18"/>
        </w:rPr>
        <w:t xml:space="preserve">isselen tussen </w:t>
      </w:r>
      <w:r w:rsidR="00EE6A97" w:rsidRPr="00597478">
        <w:rPr>
          <w:rFonts w:cs="ArialUnicodeMS_PDF_Subset"/>
          <w:szCs w:val="18"/>
        </w:rPr>
        <w:t>t</w:t>
      </w:r>
      <w:r w:rsidR="00382DF2" w:rsidRPr="00597478">
        <w:rPr>
          <w:rFonts w:cs="ArialUnicodeMS_PDF_Subset"/>
          <w:szCs w:val="18"/>
        </w:rPr>
        <w:t>e rapporteren cryptoactiva en fiduciaire valuta</w:t>
      </w:r>
      <w:r w:rsidRPr="00597478">
        <w:rPr>
          <w:rFonts w:cs="ArialUnicodeMS_PDF_Subset"/>
          <w:szCs w:val="18"/>
        </w:rPr>
        <w:t>’</w:t>
      </w:r>
      <w:r w:rsidR="00382DF2" w:rsidRPr="00597478">
        <w:rPr>
          <w:rFonts w:cs="ArialUnicodeMS_PDF_Subset"/>
          <w:szCs w:val="18"/>
        </w:rPr>
        <w:t>s</w:t>
      </w:r>
      <w:r w:rsidR="00CD0C9A">
        <w:rPr>
          <w:rFonts w:cs="ArialUnicodeMS_PDF_Subset"/>
          <w:szCs w:val="18"/>
        </w:rPr>
        <w:t>;</w:t>
      </w:r>
      <w:r w:rsidR="00382DF2" w:rsidRPr="00597478">
        <w:rPr>
          <w:rFonts w:cs="ArialUnicodeMS_PDF_Subset"/>
          <w:szCs w:val="18"/>
        </w:rPr>
        <w:t xml:space="preserve"> en</w:t>
      </w:r>
    </w:p>
    <w:p w14:paraId="3A46C666" w14:textId="0B65E368" w:rsidR="00597478" w:rsidRPr="00597478" w:rsidRDefault="00597478" w:rsidP="00597478">
      <w:pPr>
        <w:pStyle w:val="Lijstalinea"/>
        <w:numPr>
          <w:ilvl w:val="2"/>
          <w:numId w:val="27"/>
        </w:numPr>
        <w:autoSpaceDE w:val="0"/>
        <w:autoSpaceDN w:val="0"/>
        <w:adjustRightInd w:val="0"/>
        <w:ind w:left="357" w:hanging="357"/>
        <w:rPr>
          <w:rFonts w:cs="ArialUnicodeMS_PDF_Subset"/>
          <w:szCs w:val="18"/>
        </w:rPr>
      </w:pPr>
      <w:r w:rsidRPr="00597478">
        <w:rPr>
          <w:rFonts w:cs="ArialUnicodeMS_PDF_Subset"/>
          <w:szCs w:val="18"/>
        </w:rPr>
        <w:t>om</w:t>
      </w:r>
      <w:r w:rsidR="00382DF2" w:rsidRPr="00597478">
        <w:rPr>
          <w:rFonts w:cs="ArialUnicodeMS_PDF_Subset"/>
          <w:szCs w:val="18"/>
        </w:rPr>
        <w:t xml:space="preserve">wisselen tussen een of meer vormen van </w:t>
      </w:r>
      <w:r w:rsidR="00EE6A97" w:rsidRPr="00597478">
        <w:rPr>
          <w:rFonts w:cs="ArialUnicodeMS_PDF_Subset"/>
          <w:szCs w:val="18"/>
        </w:rPr>
        <w:t>t</w:t>
      </w:r>
      <w:r w:rsidR="00382DF2" w:rsidRPr="00597478">
        <w:rPr>
          <w:rFonts w:cs="ArialUnicodeMS_PDF_Subset"/>
          <w:szCs w:val="18"/>
        </w:rPr>
        <w:t xml:space="preserve">e rapporteren cryptoactiva. </w:t>
      </w:r>
    </w:p>
    <w:p w14:paraId="69470A79" w14:textId="77777777" w:rsidR="00597478" w:rsidRDefault="00597478" w:rsidP="00F7438C">
      <w:pPr>
        <w:autoSpaceDE w:val="0"/>
        <w:autoSpaceDN w:val="0"/>
        <w:adjustRightInd w:val="0"/>
        <w:rPr>
          <w:rFonts w:cs="ArialUnicodeMS_PDF_Subset"/>
          <w:szCs w:val="18"/>
        </w:rPr>
      </w:pPr>
    </w:p>
    <w:p w14:paraId="41948A50" w14:textId="79137882" w:rsidR="00EE6A97" w:rsidRDefault="00382DF2" w:rsidP="00F7438C">
      <w:pPr>
        <w:autoSpaceDE w:val="0"/>
        <w:autoSpaceDN w:val="0"/>
        <w:adjustRightInd w:val="0"/>
        <w:rPr>
          <w:rFonts w:cs="ArialUnicodeMS_PDF_Subset"/>
          <w:szCs w:val="18"/>
        </w:rPr>
      </w:pPr>
      <w:r>
        <w:rPr>
          <w:rFonts w:cs="ArialUnicodeMS_PDF_Subset"/>
          <w:szCs w:val="18"/>
        </w:rPr>
        <w:t xml:space="preserve">Onder </w:t>
      </w:r>
      <w:r w:rsidR="00597478">
        <w:rPr>
          <w:rFonts w:cs="ArialUnicodeMS_PDF_Subset"/>
          <w:szCs w:val="18"/>
        </w:rPr>
        <w:t xml:space="preserve">een </w:t>
      </w:r>
      <w:r>
        <w:rPr>
          <w:rFonts w:cs="ArialUnicodeMS_PDF_Subset"/>
          <w:szCs w:val="18"/>
        </w:rPr>
        <w:t xml:space="preserve">te rapporteren </w:t>
      </w:r>
      <w:proofErr w:type="spellStart"/>
      <w:r>
        <w:rPr>
          <w:rFonts w:cs="ArialUnicodeMS_PDF_Subset"/>
          <w:szCs w:val="18"/>
        </w:rPr>
        <w:t>retailbetalingstransactie</w:t>
      </w:r>
      <w:proofErr w:type="spellEnd"/>
      <w:r>
        <w:rPr>
          <w:rFonts w:cs="ArialUnicodeMS_PDF_Subset"/>
          <w:szCs w:val="18"/>
        </w:rPr>
        <w:t xml:space="preserve"> wordt verstaan een overdracht van te rapporteren cryptoactiva als tegenprestatie voor goederen en diensten </w:t>
      </w:r>
      <w:r w:rsidR="00467C5E">
        <w:rPr>
          <w:rFonts w:cs="ArialUnicodeMS_PDF_Subset"/>
          <w:szCs w:val="18"/>
        </w:rPr>
        <w:t>ter waarde van meer dan 50.000 USD (of het equivalent daarvan in een andere valuta</w:t>
      </w:r>
      <w:r w:rsidR="00C95FB9">
        <w:rPr>
          <w:rFonts w:cs="ArialUnicodeMS_PDF_Subset"/>
          <w:szCs w:val="18"/>
        </w:rPr>
        <w:t>)</w:t>
      </w:r>
      <w:r w:rsidR="00467C5E">
        <w:rPr>
          <w:rFonts w:cs="ArialUnicodeMS_PDF_Subset"/>
          <w:szCs w:val="18"/>
        </w:rPr>
        <w:t xml:space="preserve">. </w:t>
      </w:r>
      <w:r w:rsidR="00EE6A97">
        <w:rPr>
          <w:rFonts w:cs="ArialUnicodeMS_PDF_Subset"/>
          <w:szCs w:val="18"/>
        </w:rPr>
        <w:t xml:space="preserve">Zowel de klant als de handelaar worden dan aangemerkt als te rapporteren gebruikers. </w:t>
      </w:r>
    </w:p>
    <w:p w14:paraId="41AC39E2" w14:textId="77777777" w:rsidR="00EE6A97" w:rsidRDefault="00EE6A97" w:rsidP="00F7438C">
      <w:pPr>
        <w:autoSpaceDE w:val="0"/>
        <w:autoSpaceDN w:val="0"/>
        <w:adjustRightInd w:val="0"/>
        <w:rPr>
          <w:rFonts w:cs="ArialUnicodeMS_PDF_Subset"/>
          <w:szCs w:val="18"/>
        </w:rPr>
      </w:pPr>
    </w:p>
    <w:p w14:paraId="48908CF6" w14:textId="2EBF0421" w:rsidR="00382DF2" w:rsidRDefault="00A85A10" w:rsidP="00894DA3">
      <w:pPr>
        <w:autoSpaceDE w:val="0"/>
        <w:autoSpaceDN w:val="0"/>
        <w:adjustRightInd w:val="0"/>
        <w:jc w:val="both"/>
        <w:rPr>
          <w:rFonts w:cs="ArialUnicodeMS_PDF_Subset"/>
          <w:szCs w:val="18"/>
        </w:rPr>
      </w:pPr>
      <w:r>
        <w:rPr>
          <w:rFonts w:cs="ArialUnicodeMS_PDF_Subset"/>
          <w:szCs w:val="18"/>
        </w:rPr>
        <w:t xml:space="preserve">Een aanbieder van cryptoactivadiensten kan een transactie alleen als </w:t>
      </w:r>
      <w:r w:rsidR="00597478">
        <w:rPr>
          <w:rFonts w:cs="ArialUnicodeMS_PDF_Subset"/>
          <w:szCs w:val="18"/>
        </w:rPr>
        <w:t xml:space="preserve">een </w:t>
      </w:r>
      <w:r>
        <w:rPr>
          <w:rFonts w:cs="ArialUnicodeMS_PDF_Subset"/>
          <w:szCs w:val="18"/>
        </w:rPr>
        <w:t xml:space="preserve">overdracht </w:t>
      </w:r>
      <w:r w:rsidR="00597478">
        <w:rPr>
          <w:rFonts w:cs="ArialUnicodeMS_PDF_Subset"/>
          <w:szCs w:val="18"/>
        </w:rPr>
        <w:t xml:space="preserve">van cryptoactiva </w:t>
      </w:r>
      <w:r>
        <w:rPr>
          <w:rFonts w:cs="ArialUnicodeMS_PDF_Subset"/>
          <w:szCs w:val="18"/>
        </w:rPr>
        <w:t xml:space="preserve">aanmerken indien hij </w:t>
      </w:r>
      <w:r w:rsidRPr="00A85A10">
        <w:rPr>
          <w:rFonts w:cs="ArialUnicodeMS_PDF_Subset"/>
          <w:szCs w:val="18"/>
        </w:rPr>
        <w:t xml:space="preserve">op </w:t>
      </w:r>
      <w:r w:rsidR="003371A2" w:rsidRPr="00A85A10">
        <w:rPr>
          <w:rFonts w:cs="ArialUnicodeMS_PDF_Subset"/>
          <w:szCs w:val="18"/>
        </w:rPr>
        <w:t xml:space="preserve">het transactiemoment </w:t>
      </w:r>
      <w:r w:rsidR="00041F54">
        <w:rPr>
          <w:rFonts w:cs="ArialUnicodeMS_PDF_Subset"/>
          <w:szCs w:val="18"/>
        </w:rPr>
        <w:t xml:space="preserve">van de </w:t>
      </w:r>
      <w:r w:rsidR="003371A2" w:rsidRPr="00A85A10">
        <w:rPr>
          <w:rFonts w:cs="ArialUnicodeMS_PDF_Subset"/>
          <w:szCs w:val="18"/>
        </w:rPr>
        <w:t xml:space="preserve">overdracht, niet kan </w:t>
      </w:r>
      <w:r w:rsidRPr="00A85A10">
        <w:rPr>
          <w:rFonts w:cs="ArialUnicodeMS_PDF_Subset"/>
          <w:szCs w:val="18"/>
        </w:rPr>
        <w:t xml:space="preserve">vaststellen </w:t>
      </w:r>
      <w:r>
        <w:rPr>
          <w:rFonts w:cs="ArialUnicodeMS_PDF_Subset"/>
          <w:szCs w:val="18"/>
        </w:rPr>
        <w:t xml:space="preserve">of </w:t>
      </w:r>
      <w:r w:rsidR="00041F54">
        <w:rPr>
          <w:rFonts w:cs="ArialUnicodeMS_PDF_Subset"/>
          <w:szCs w:val="18"/>
        </w:rPr>
        <w:t xml:space="preserve">de transactie </w:t>
      </w:r>
      <w:r w:rsidR="003371A2" w:rsidRPr="00A85A10">
        <w:rPr>
          <w:rFonts w:cs="ArialUnicodeMS_PDF_Subset"/>
          <w:szCs w:val="18"/>
        </w:rPr>
        <w:t xml:space="preserve">al dan niet een </w:t>
      </w:r>
      <w:r w:rsidR="00597478">
        <w:rPr>
          <w:rFonts w:cs="ArialUnicodeMS_PDF_Subset"/>
          <w:szCs w:val="18"/>
        </w:rPr>
        <w:t>om</w:t>
      </w:r>
      <w:r w:rsidR="003371A2" w:rsidRPr="00A85A10">
        <w:rPr>
          <w:rFonts w:cs="ArialUnicodeMS_PDF_Subset"/>
          <w:szCs w:val="18"/>
        </w:rPr>
        <w:t>wisseltransactie</w:t>
      </w:r>
      <w:r w:rsidR="00041F54">
        <w:rPr>
          <w:rFonts w:cs="ArialUnicodeMS_PDF_Subset"/>
          <w:szCs w:val="18"/>
        </w:rPr>
        <w:t xml:space="preserve"> is.</w:t>
      </w:r>
      <w:r w:rsidR="004D3A5E" w:rsidRPr="00745796">
        <w:rPr>
          <w:rStyle w:val="Voetnootmarkering"/>
          <w:rFonts w:cs="ArialUnicodeMS_PDF_Subset"/>
          <w:szCs w:val="18"/>
          <w:vertAlign w:val="superscript"/>
        </w:rPr>
        <w:footnoteReference w:id="11"/>
      </w:r>
      <w:r w:rsidR="00CD0C9A">
        <w:rPr>
          <w:rFonts w:cs="ArialUnicodeMS_PDF_Subset"/>
          <w:szCs w:val="18"/>
        </w:rPr>
        <w:t xml:space="preserve"> </w:t>
      </w:r>
      <w:r w:rsidR="006A2CA0">
        <w:rPr>
          <w:rFonts w:cs="ArialUnicodeMS_PDF_Subset"/>
          <w:szCs w:val="18"/>
        </w:rPr>
        <w:t xml:space="preserve">Dit kan voorkomen in situaties waarin de aanbieder bijvoorbeeld geen zicht heeft </w:t>
      </w:r>
      <w:r w:rsidR="006A2CA0" w:rsidRPr="000C3D3C">
        <w:rPr>
          <w:rFonts w:cs="ArialUnicodeMS_PDF_Subset"/>
          <w:szCs w:val="18"/>
        </w:rPr>
        <w:t>op het fiduciair valuta-deel van de transactie</w:t>
      </w:r>
      <w:r w:rsidR="006A2CA0" w:rsidRPr="00226F7B">
        <w:rPr>
          <w:rFonts w:cs="ArialUnicodeMS_PDF_Subset"/>
          <w:i/>
          <w:iCs/>
          <w:szCs w:val="18"/>
        </w:rPr>
        <w:t>.</w:t>
      </w:r>
      <w:r w:rsidR="006A2CA0">
        <w:rPr>
          <w:rFonts w:cs="ArialUnicodeMS_PDF_Subset"/>
          <w:szCs w:val="18"/>
        </w:rPr>
        <w:t xml:space="preserve"> In dat geval rapporteert de</w:t>
      </w:r>
      <w:r w:rsidR="00EE6A97">
        <w:rPr>
          <w:rFonts w:cs="ArialUnicodeMS_PDF_Subset"/>
          <w:szCs w:val="18"/>
        </w:rPr>
        <w:t xml:space="preserve"> aanbieder van cryptoactivadiensten </w:t>
      </w:r>
      <w:r w:rsidR="006A2CA0">
        <w:rPr>
          <w:rFonts w:cs="ArialUnicodeMS_PDF_Subset"/>
          <w:szCs w:val="18"/>
        </w:rPr>
        <w:t>de</w:t>
      </w:r>
      <w:r w:rsidR="00EE6A97">
        <w:rPr>
          <w:rFonts w:cs="ArialUnicodeMS_PDF_Subset"/>
          <w:szCs w:val="18"/>
        </w:rPr>
        <w:t xml:space="preserve"> te rapporteren transacties als </w:t>
      </w:r>
      <w:r w:rsidR="006A2CA0">
        <w:rPr>
          <w:rFonts w:cs="ArialUnicodeMS_PDF_Subset"/>
          <w:szCs w:val="18"/>
        </w:rPr>
        <w:t xml:space="preserve">een </w:t>
      </w:r>
      <w:r w:rsidR="00EE6A97">
        <w:rPr>
          <w:rFonts w:cs="ArialUnicodeMS_PDF_Subset"/>
          <w:szCs w:val="18"/>
        </w:rPr>
        <w:t>over</w:t>
      </w:r>
      <w:r w:rsidR="006A2CA0">
        <w:rPr>
          <w:rFonts w:cs="ArialUnicodeMS_PDF_Subset"/>
          <w:szCs w:val="18"/>
        </w:rPr>
        <w:t>boeking van cryptoactiva.</w:t>
      </w:r>
      <w:r w:rsidR="00EE6A97">
        <w:rPr>
          <w:rFonts w:cs="ArialUnicodeMS_PDF_Subset"/>
          <w:szCs w:val="18"/>
        </w:rPr>
        <w:t xml:space="preserve"> </w:t>
      </w:r>
    </w:p>
    <w:p w14:paraId="4387F0E6" w14:textId="77777777" w:rsidR="00467C5E" w:rsidRDefault="00467C5E" w:rsidP="00F7438C">
      <w:pPr>
        <w:autoSpaceDE w:val="0"/>
        <w:autoSpaceDN w:val="0"/>
        <w:adjustRightInd w:val="0"/>
        <w:rPr>
          <w:rFonts w:cs="ArialUnicodeMS_PDF_Subset"/>
          <w:szCs w:val="18"/>
        </w:rPr>
      </w:pPr>
    </w:p>
    <w:p w14:paraId="4754981C" w14:textId="408CBB8C" w:rsidR="00BC2021" w:rsidRPr="005F1C8D" w:rsidRDefault="00BC2021" w:rsidP="00467C5E">
      <w:pPr>
        <w:autoSpaceDE w:val="0"/>
        <w:autoSpaceDN w:val="0"/>
        <w:adjustRightInd w:val="0"/>
        <w:rPr>
          <w:rFonts w:cs="Verdana"/>
          <w:szCs w:val="18"/>
        </w:rPr>
      </w:pPr>
      <w:r w:rsidRPr="005F1C8D">
        <w:rPr>
          <w:rFonts w:cs="Verdana"/>
          <w:szCs w:val="18"/>
        </w:rPr>
        <w:t xml:space="preserve">Hieronder volgt nog een voorbeeld van een </w:t>
      </w:r>
      <w:proofErr w:type="spellStart"/>
      <w:r w:rsidRPr="005F1C8D">
        <w:rPr>
          <w:rFonts w:cs="Verdana"/>
          <w:szCs w:val="18"/>
        </w:rPr>
        <w:t>retailbetalingstransactie</w:t>
      </w:r>
      <w:proofErr w:type="spellEnd"/>
      <w:r w:rsidRPr="005F1C8D">
        <w:rPr>
          <w:rFonts w:cs="Verdana"/>
          <w:szCs w:val="18"/>
        </w:rPr>
        <w:t xml:space="preserve">. </w:t>
      </w:r>
    </w:p>
    <w:p w14:paraId="2D213DF2" w14:textId="6DC3FF54" w:rsidR="00BC2021" w:rsidRPr="005F1C8D" w:rsidRDefault="00BC2021" w:rsidP="00894DA3">
      <w:pPr>
        <w:autoSpaceDE w:val="0"/>
        <w:autoSpaceDN w:val="0"/>
        <w:adjustRightInd w:val="0"/>
        <w:jc w:val="both"/>
        <w:rPr>
          <w:rFonts w:cs="Verdana"/>
          <w:i/>
          <w:iCs/>
          <w:szCs w:val="18"/>
        </w:rPr>
      </w:pPr>
      <w:r w:rsidRPr="005F1C8D">
        <w:rPr>
          <w:rFonts w:cs="Verdana"/>
          <w:i/>
          <w:iCs/>
          <w:szCs w:val="18"/>
        </w:rPr>
        <w:t xml:space="preserve">Om het gebruik van cryptoactiva </w:t>
      </w:r>
      <w:r w:rsidR="00240F46" w:rsidRPr="005F1C8D">
        <w:rPr>
          <w:rFonts w:cs="Verdana"/>
          <w:i/>
          <w:iCs/>
          <w:szCs w:val="18"/>
        </w:rPr>
        <w:t xml:space="preserve">door klanten te faciliteren voor de aankoop van goederen, heeft </w:t>
      </w:r>
      <w:r w:rsidR="003D1AAA" w:rsidRPr="005F1C8D">
        <w:rPr>
          <w:rFonts w:cs="Verdana"/>
          <w:i/>
          <w:iCs/>
          <w:szCs w:val="18"/>
        </w:rPr>
        <w:t xml:space="preserve">een </w:t>
      </w:r>
      <w:r w:rsidR="00240F46" w:rsidRPr="005F1C8D">
        <w:rPr>
          <w:rFonts w:cs="Verdana"/>
          <w:i/>
          <w:iCs/>
          <w:szCs w:val="18"/>
        </w:rPr>
        <w:t xml:space="preserve">handelaar een overeenkomst afgesloten met een </w:t>
      </w:r>
      <w:proofErr w:type="spellStart"/>
      <w:r w:rsidR="00240F46" w:rsidRPr="005F1C8D">
        <w:rPr>
          <w:rFonts w:cs="Verdana"/>
          <w:i/>
          <w:iCs/>
          <w:szCs w:val="18"/>
        </w:rPr>
        <w:t>cryptoactivadienstverlener</w:t>
      </w:r>
      <w:proofErr w:type="spellEnd"/>
      <w:r w:rsidR="00240F46" w:rsidRPr="005F1C8D">
        <w:rPr>
          <w:rFonts w:cs="Verdana"/>
          <w:i/>
          <w:iCs/>
          <w:szCs w:val="18"/>
        </w:rPr>
        <w:t xml:space="preserve"> om betalingen</w:t>
      </w:r>
      <w:r w:rsidR="006A2CA0">
        <w:rPr>
          <w:rFonts w:cs="Verdana"/>
          <w:i/>
          <w:iCs/>
          <w:szCs w:val="18"/>
        </w:rPr>
        <w:t xml:space="preserve"> met cryptoactiva door klanten van de handelaar</w:t>
      </w:r>
      <w:r w:rsidR="00240F46" w:rsidRPr="005F1C8D">
        <w:rPr>
          <w:rFonts w:cs="Verdana"/>
          <w:i/>
          <w:iCs/>
          <w:szCs w:val="18"/>
        </w:rPr>
        <w:t xml:space="preserve"> </w:t>
      </w:r>
      <w:r w:rsidR="003D1AAA" w:rsidRPr="005F1C8D">
        <w:rPr>
          <w:rFonts w:cs="Verdana"/>
          <w:i/>
          <w:iCs/>
          <w:szCs w:val="18"/>
        </w:rPr>
        <w:t>te verwerken</w:t>
      </w:r>
      <w:r w:rsidR="006A2CA0">
        <w:rPr>
          <w:rFonts w:cs="Verdana"/>
          <w:i/>
          <w:iCs/>
          <w:szCs w:val="18"/>
        </w:rPr>
        <w:t>.</w:t>
      </w:r>
      <w:r w:rsidR="00424B8A" w:rsidRPr="005F1C8D">
        <w:rPr>
          <w:rFonts w:cs="Verdana"/>
          <w:i/>
          <w:iCs/>
          <w:szCs w:val="18"/>
        </w:rPr>
        <w:t xml:space="preserve"> De </w:t>
      </w:r>
      <w:proofErr w:type="spellStart"/>
      <w:r w:rsidR="00424B8A" w:rsidRPr="005F1C8D">
        <w:rPr>
          <w:rFonts w:cs="Verdana"/>
          <w:i/>
          <w:iCs/>
          <w:szCs w:val="18"/>
        </w:rPr>
        <w:t>cryptoactivadienstverlener</w:t>
      </w:r>
      <w:proofErr w:type="spellEnd"/>
      <w:r w:rsidR="00FA6AEC">
        <w:rPr>
          <w:rFonts w:cs="Verdana"/>
          <w:i/>
          <w:iCs/>
          <w:szCs w:val="18"/>
        </w:rPr>
        <w:t xml:space="preserve"> onderhoudt</w:t>
      </w:r>
      <w:r w:rsidR="00424B8A" w:rsidRPr="005F1C8D">
        <w:rPr>
          <w:rFonts w:cs="Verdana"/>
          <w:i/>
          <w:iCs/>
          <w:szCs w:val="18"/>
        </w:rPr>
        <w:t xml:space="preserve"> </w:t>
      </w:r>
      <w:r w:rsidR="006A2CA0">
        <w:rPr>
          <w:rFonts w:cs="Verdana"/>
          <w:i/>
          <w:iCs/>
          <w:szCs w:val="18"/>
        </w:rPr>
        <w:t xml:space="preserve">zelf </w:t>
      </w:r>
      <w:r w:rsidR="00424B8A" w:rsidRPr="005F1C8D">
        <w:rPr>
          <w:rFonts w:cs="Verdana"/>
          <w:i/>
          <w:iCs/>
          <w:szCs w:val="18"/>
        </w:rPr>
        <w:t xml:space="preserve">geen aparte relatie met de onderliggende klanten. </w:t>
      </w:r>
      <w:r w:rsidR="00240F46" w:rsidRPr="005F1C8D">
        <w:rPr>
          <w:rFonts w:cs="Verdana"/>
          <w:i/>
          <w:iCs/>
          <w:szCs w:val="18"/>
        </w:rPr>
        <w:t xml:space="preserve"> </w:t>
      </w:r>
    </w:p>
    <w:p w14:paraId="21249CFC" w14:textId="77777777" w:rsidR="00D374BA" w:rsidRDefault="00D374BA" w:rsidP="00467C5E">
      <w:pPr>
        <w:autoSpaceDE w:val="0"/>
        <w:autoSpaceDN w:val="0"/>
        <w:adjustRightInd w:val="0"/>
        <w:rPr>
          <w:rFonts w:cs="Verdana"/>
          <w:b/>
          <w:bCs/>
          <w:i/>
          <w:iCs/>
          <w:szCs w:val="18"/>
        </w:rPr>
      </w:pPr>
    </w:p>
    <w:p w14:paraId="58279A01" w14:textId="55886390" w:rsidR="00D374BA" w:rsidRPr="005F1C8D" w:rsidRDefault="001B2F7D" w:rsidP="00894DA3">
      <w:pPr>
        <w:autoSpaceDE w:val="0"/>
        <w:autoSpaceDN w:val="0"/>
        <w:adjustRightInd w:val="0"/>
        <w:jc w:val="both"/>
        <w:rPr>
          <w:rFonts w:cs="Verdana"/>
          <w:szCs w:val="18"/>
        </w:rPr>
      </w:pPr>
      <w:r w:rsidRPr="005F1C8D">
        <w:rPr>
          <w:rFonts w:cs="Verdana"/>
          <w:szCs w:val="18"/>
        </w:rPr>
        <w:t xml:space="preserve">De klant verricht een betaling in cryptoactiva om goederen aan te kopen welke groter is dan USD 50.000. Deze transactie is een te rapporteren </w:t>
      </w:r>
      <w:proofErr w:type="spellStart"/>
      <w:r w:rsidRPr="005F1C8D">
        <w:rPr>
          <w:rFonts w:cs="Verdana"/>
          <w:szCs w:val="18"/>
        </w:rPr>
        <w:t>retailbetalingstransactie</w:t>
      </w:r>
      <w:proofErr w:type="spellEnd"/>
      <w:r w:rsidRPr="005F1C8D">
        <w:rPr>
          <w:rFonts w:cs="Verdana"/>
          <w:szCs w:val="18"/>
        </w:rPr>
        <w:t xml:space="preserve">. De klant wordt door de </w:t>
      </w:r>
      <w:proofErr w:type="spellStart"/>
      <w:r w:rsidR="006F3B19" w:rsidRPr="005F1C8D">
        <w:rPr>
          <w:rFonts w:cs="Verdana"/>
          <w:szCs w:val="18"/>
        </w:rPr>
        <w:t>cryptoactivadienstverlener</w:t>
      </w:r>
      <w:proofErr w:type="spellEnd"/>
      <w:r w:rsidR="006F3B19" w:rsidRPr="005F1C8D">
        <w:rPr>
          <w:rFonts w:cs="Verdana"/>
          <w:szCs w:val="18"/>
        </w:rPr>
        <w:t xml:space="preserve"> aangemerkt als een te rapporteren gebruiker</w:t>
      </w:r>
      <w:r w:rsidR="002F4BEC" w:rsidRPr="005F1C8D">
        <w:rPr>
          <w:rFonts w:cs="Verdana"/>
          <w:szCs w:val="18"/>
        </w:rPr>
        <w:t xml:space="preserve"> en de betaling wordt als een te rapporteren </w:t>
      </w:r>
      <w:proofErr w:type="spellStart"/>
      <w:r w:rsidR="002F4BEC" w:rsidRPr="005F1C8D">
        <w:rPr>
          <w:rFonts w:cs="Verdana"/>
          <w:szCs w:val="18"/>
        </w:rPr>
        <w:t>retailbetalingstransactie</w:t>
      </w:r>
      <w:proofErr w:type="spellEnd"/>
      <w:r w:rsidR="002F4BEC" w:rsidRPr="005F1C8D">
        <w:rPr>
          <w:rFonts w:cs="Verdana"/>
          <w:szCs w:val="18"/>
        </w:rPr>
        <w:t xml:space="preserve"> aangemerkt.</w:t>
      </w:r>
      <w:r w:rsidR="00A747AF" w:rsidRPr="00FA6AEC">
        <w:rPr>
          <w:rStyle w:val="Voetnootmarkering"/>
          <w:rFonts w:cs="Verdana"/>
          <w:szCs w:val="18"/>
          <w:vertAlign w:val="superscript"/>
        </w:rPr>
        <w:footnoteReference w:id="12"/>
      </w:r>
      <w:r w:rsidR="00767BB0" w:rsidRPr="005F1C8D">
        <w:rPr>
          <w:rFonts w:cs="Verdana"/>
          <w:szCs w:val="18"/>
        </w:rPr>
        <w:t xml:space="preserve"> Daarnaast dient de </w:t>
      </w:r>
      <w:proofErr w:type="spellStart"/>
      <w:r w:rsidR="00767BB0" w:rsidRPr="005F1C8D">
        <w:rPr>
          <w:rFonts w:cs="Verdana"/>
          <w:szCs w:val="18"/>
        </w:rPr>
        <w:t>cryptoactivadienstverlener</w:t>
      </w:r>
      <w:proofErr w:type="spellEnd"/>
      <w:r w:rsidR="00767BB0" w:rsidRPr="005F1C8D">
        <w:rPr>
          <w:rFonts w:cs="Verdana"/>
          <w:szCs w:val="18"/>
        </w:rPr>
        <w:t xml:space="preserve"> ook de hand</w:t>
      </w:r>
      <w:r w:rsidR="005F1C8D">
        <w:rPr>
          <w:rFonts w:cs="Verdana"/>
          <w:szCs w:val="18"/>
        </w:rPr>
        <w:t>el</w:t>
      </w:r>
      <w:r w:rsidR="00767BB0" w:rsidRPr="005F1C8D">
        <w:rPr>
          <w:rFonts w:cs="Verdana"/>
          <w:szCs w:val="18"/>
        </w:rPr>
        <w:t xml:space="preserve">aar als </w:t>
      </w:r>
      <w:r w:rsidR="006E03E9" w:rsidRPr="005F1C8D">
        <w:rPr>
          <w:rFonts w:cs="Verdana"/>
          <w:szCs w:val="18"/>
        </w:rPr>
        <w:t xml:space="preserve">een </w:t>
      </w:r>
      <w:r w:rsidR="00767BB0" w:rsidRPr="005F1C8D">
        <w:rPr>
          <w:rFonts w:cs="Verdana"/>
          <w:szCs w:val="18"/>
        </w:rPr>
        <w:t xml:space="preserve">te rapporteren gebruiker </w:t>
      </w:r>
      <w:r w:rsidR="00A747AF" w:rsidRPr="005F1C8D">
        <w:rPr>
          <w:rFonts w:cs="Verdana"/>
          <w:szCs w:val="18"/>
        </w:rPr>
        <w:t xml:space="preserve">aan </w:t>
      </w:r>
      <w:r w:rsidR="00767BB0" w:rsidRPr="005F1C8D">
        <w:rPr>
          <w:rFonts w:cs="Verdana"/>
          <w:szCs w:val="18"/>
        </w:rPr>
        <w:t xml:space="preserve">te </w:t>
      </w:r>
      <w:r w:rsidR="00A747AF" w:rsidRPr="005F1C8D">
        <w:rPr>
          <w:rFonts w:cs="Verdana"/>
          <w:szCs w:val="18"/>
        </w:rPr>
        <w:t>merken. Deze betaling wordt gerapporteerd als een transactie aan de handelaar.</w:t>
      </w:r>
      <w:r w:rsidR="00A747AF" w:rsidRPr="00FA6AEC">
        <w:rPr>
          <w:rStyle w:val="Voetnootmarkering"/>
          <w:rFonts w:cs="Verdana"/>
          <w:szCs w:val="18"/>
          <w:vertAlign w:val="superscript"/>
        </w:rPr>
        <w:footnoteReference w:id="13"/>
      </w:r>
      <w:r w:rsidR="00A747AF" w:rsidRPr="005F1C8D">
        <w:rPr>
          <w:rFonts w:cs="Verdana"/>
          <w:szCs w:val="18"/>
        </w:rPr>
        <w:t xml:space="preserve"> </w:t>
      </w:r>
    </w:p>
    <w:p w14:paraId="3E50FF16" w14:textId="01AC165C" w:rsidR="00424B8A" w:rsidRPr="00424B8A" w:rsidRDefault="00424B8A" w:rsidP="00467C5E">
      <w:pPr>
        <w:autoSpaceDE w:val="0"/>
        <w:autoSpaceDN w:val="0"/>
        <w:adjustRightInd w:val="0"/>
        <w:rPr>
          <w:rFonts w:cs="Verdana"/>
          <w:b/>
          <w:bCs/>
          <w:i/>
          <w:iCs/>
          <w:szCs w:val="18"/>
        </w:rPr>
      </w:pPr>
    </w:p>
    <w:p w14:paraId="0ED3F78C" w14:textId="36CB6296" w:rsidR="009A3BE2" w:rsidRPr="009A3BE2" w:rsidRDefault="009A3BE2" w:rsidP="00467C5E">
      <w:pPr>
        <w:autoSpaceDE w:val="0"/>
        <w:autoSpaceDN w:val="0"/>
        <w:adjustRightInd w:val="0"/>
        <w:rPr>
          <w:rFonts w:cs="Verdana"/>
          <w:b/>
          <w:bCs/>
          <w:szCs w:val="18"/>
        </w:rPr>
      </w:pPr>
      <w:r w:rsidRPr="009A3BE2">
        <w:rPr>
          <w:rFonts w:cs="Verdana"/>
          <w:b/>
          <w:bCs/>
          <w:szCs w:val="18"/>
        </w:rPr>
        <w:t>Transacties:</w:t>
      </w:r>
    </w:p>
    <w:p w14:paraId="693C8394" w14:textId="4C1D335F" w:rsidR="00467C5E" w:rsidRDefault="00DC1F9B" w:rsidP="00467C5E">
      <w:pPr>
        <w:autoSpaceDE w:val="0"/>
        <w:autoSpaceDN w:val="0"/>
        <w:adjustRightInd w:val="0"/>
        <w:rPr>
          <w:rFonts w:cs="Verdana"/>
          <w:szCs w:val="18"/>
        </w:rPr>
      </w:pPr>
      <w:r>
        <w:rPr>
          <w:rFonts w:cs="Verdana"/>
          <w:szCs w:val="18"/>
        </w:rPr>
        <w:t xml:space="preserve">De rapporterende aanbieder van cryptoactivadiensten </w:t>
      </w:r>
      <w:r w:rsidRPr="000C3D3C">
        <w:rPr>
          <w:rFonts w:cs="Verdana"/>
          <w:szCs w:val="18"/>
        </w:rPr>
        <w:t xml:space="preserve">rapporteert </w:t>
      </w:r>
      <w:r w:rsidR="00B2706E" w:rsidRPr="000C3D3C">
        <w:rPr>
          <w:rFonts w:cs="Verdana"/>
          <w:szCs w:val="18"/>
        </w:rPr>
        <w:t>voor elk soort</w:t>
      </w:r>
      <w:r w:rsidR="00B2706E">
        <w:rPr>
          <w:rFonts w:cs="Verdana"/>
          <w:szCs w:val="18"/>
        </w:rPr>
        <w:t xml:space="preserve"> te rapporteren cryptoactivum </w:t>
      </w:r>
      <w:r>
        <w:rPr>
          <w:rFonts w:cs="Verdana"/>
          <w:szCs w:val="18"/>
        </w:rPr>
        <w:t>met betrekking tot elke gebruiker van cryptoactiva die te rapporteren gebruiker is of te rapporteren personen als uiteindelijk belanghebbenden heeft</w:t>
      </w:r>
      <w:r w:rsidR="009915F5">
        <w:rPr>
          <w:rFonts w:cs="Verdana"/>
          <w:szCs w:val="18"/>
        </w:rPr>
        <w:t xml:space="preserve"> onderstaande gegevens:</w:t>
      </w:r>
      <w:r>
        <w:rPr>
          <w:rFonts w:cs="Verdana"/>
          <w:szCs w:val="18"/>
        </w:rPr>
        <w:t xml:space="preserve"> </w:t>
      </w:r>
      <w:r w:rsidR="00AC1A36">
        <w:rPr>
          <w:rFonts w:cs="Verdana"/>
          <w:szCs w:val="18"/>
        </w:rPr>
        <w:t>“</w:t>
      </w:r>
      <w:r w:rsidRPr="00CD2D95">
        <w:rPr>
          <w:rStyle w:val="Voetnootmarkering"/>
          <w:rFonts w:cs="Verdana"/>
          <w:szCs w:val="18"/>
          <w:vertAlign w:val="superscript"/>
        </w:rPr>
        <w:footnoteReference w:id="14"/>
      </w:r>
      <w:r w:rsidR="00CD2D95">
        <w:rPr>
          <w:rFonts w:cs="Verdana"/>
          <w:szCs w:val="18"/>
        </w:rPr>
        <w:t>:</w:t>
      </w:r>
    </w:p>
    <w:p w14:paraId="49BE8CBF" w14:textId="77777777" w:rsidR="00DC1F9B" w:rsidRDefault="00DC1F9B" w:rsidP="00467C5E">
      <w:pPr>
        <w:autoSpaceDE w:val="0"/>
        <w:autoSpaceDN w:val="0"/>
        <w:adjustRightInd w:val="0"/>
        <w:rPr>
          <w:rFonts w:cs="Verdana"/>
          <w:szCs w:val="18"/>
        </w:rPr>
      </w:pPr>
    </w:p>
    <w:p w14:paraId="5190ADF7" w14:textId="6F89F641" w:rsidR="00467C5E" w:rsidRPr="00D93806" w:rsidRDefault="00467C5E" w:rsidP="001825E8">
      <w:pPr>
        <w:pStyle w:val="Lijstalinea"/>
        <w:numPr>
          <w:ilvl w:val="1"/>
          <w:numId w:val="31"/>
        </w:numPr>
        <w:autoSpaceDE w:val="0"/>
        <w:autoSpaceDN w:val="0"/>
        <w:adjustRightInd w:val="0"/>
        <w:jc w:val="both"/>
        <w:rPr>
          <w:rFonts w:cs="Verdana"/>
          <w:szCs w:val="18"/>
        </w:rPr>
      </w:pPr>
      <w:r w:rsidRPr="00D93806">
        <w:rPr>
          <w:rFonts w:cs="Verdana"/>
          <w:szCs w:val="18"/>
        </w:rPr>
        <w:t>de volledige naam van het soort te rapporteren cryptoactivum</w:t>
      </w:r>
      <w:r w:rsidR="005D4906" w:rsidRPr="00D93806">
        <w:rPr>
          <w:rStyle w:val="Voetnootmarkering"/>
          <w:rFonts w:cs="Verdana"/>
          <w:szCs w:val="18"/>
          <w:vertAlign w:val="superscript"/>
        </w:rPr>
        <w:footnoteReference w:id="15"/>
      </w:r>
      <w:r w:rsidRPr="00D93806">
        <w:rPr>
          <w:rFonts w:cs="Verdana"/>
          <w:szCs w:val="18"/>
        </w:rPr>
        <w:t>;</w:t>
      </w:r>
    </w:p>
    <w:p w14:paraId="11B04E79" w14:textId="6F560FD7" w:rsidR="009A3BE2" w:rsidRPr="00D93806" w:rsidRDefault="00467C5E" w:rsidP="001825E8">
      <w:pPr>
        <w:pStyle w:val="Lijstalinea"/>
        <w:numPr>
          <w:ilvl w:val="1"/>
          <w:numId w:val="31"/>
        </w:numPr>
        <w:autoSpaceDE w:val="0"/>
        <w:autoSpaceDN w:val="0"/>
        <w:adjustRightInd w:val="0"/>
        <w:jc w:val="both"/>
        <w:rPr>
          <w:rFonts w:cs="Verdana"/>
          <w:szCs w:val="18"/>
        </w:rPr>
      </w:pPr>
      <w:r w:rsidRPr="00D93806">
        <w:rPr>
          <w:rFonts w:cs="Verdana"/>
          <w:szCs w:val="18"/>
        </w:rPr>
        <w:t>het totale brutobedrag dat is betaald na aftrek van transactiekosten, het totale</w:t>
      </w:r>
      <w:r w:rsidR="00CD2D95" w:rsidRPr="00D93806">
        <w:rPr>
          <w:rFonts w:cs="Verdana"/>
          <w:szCs w:val="18"/>
        </w:rPr>
        <w:t xml:space="preserve"> </w:t>
      </w:r>
      <w:r w:rsidRPr="00D93806">
        <w:rPr>
          <w:rFonts w:cs="Verdana"/>
          <w:szCs w:val="18"/>
        </w:rPr>
        <w:t>aantal eenheden en het aantal te rapporteren transacties met betrekking tot</w:t>
      </w:r>
      <w:r w:rsidR="00FA6AEC">
        <w:rPr>
          <w:rFonts w:cs="Verdana"/>
          <w:szCs w:val="18"/>
        </w:rPr>
        <w:t xml:space="preserve"> </w:t>
      </w:r>
      <w:r w:rsidRPr="00D93806">
        <w:rPr>
          <w:rFonts w:cs="Verdana"/>
          <w:szCs w:val="18"/>
        </w:rPr>
        <w:t>aankopen tegen fiduciaire valuta;</w:t>
      </w:r>
    </w:p>
    <w:p w14:paraId="1DF5550C" w14:textId="2ECFD6FC" w:rsidR="00467C5E" w:rsidRPr="009A3BE2" w:rsidRDefault="00467C5E" w:rsidP="001825E8">
      <w:pPr>
        <w:pStyle w:val="Lijstalinea"/>
        <w:numPr>
          <w:ilvl w:val="1"/>
          <w:numId w:val="31"/>
        </w:numPr>
        <w:autoSpaceDE w:val="0"/>
        <w:autoSpaceDN w:val="0"/>
        <w:adjustRightInd w:val="0"/>
        <w:jc w:val="both"/>
        <w:rPr>
          <w:rFonts w:cs="Verdana"/>
          <w:szCs w:val="18"/>
        </w:rPr>
      </w:pPr>
      <w:r w:rsidRPr="009A3BE2">
        <w:rPr>
          <w:rFonts w:cs="Verdana"/>
          <w:szCs w:val="18"/>
        </w:rPr>
        <w:t>het totale brutobedrag dat is ontvangen na aftrek van transactiekosten, het</w:t>
      </w:r>
      <w:r w:rsidR="00CD2D95">
        <w:rPr>
          <w:rFonts w:cs="Verdana"/>
          <w:szCs w:val="18"/>
        </w:rPr>
        <w:t xml:space="preserve"> </w:t>
      </w:r>
      <w:r w:rsidRPr="009A3BE2">
        <w:rPr>
          <w:rFonts w:cs="Verdana"/>
          <w:szCs w:val="18"/>
        </w:rPr>
        <w:t>totale aantal eenheden en het aantal te rapporteren transacties met betrekking tot</w:t>
      </w:r>
      <w:r w:rsidR="00CD2D95">
        <w:rPr>
          <w:rFonts w:cs="Verdana"/>
          <w:szCs w:val="18"/>
        </w:rPr>
        <w:t xml:space="preserve"> </w:t>
      </w:r>
      <w:r w:rsidRPr="009A3BE2">
        <w:rPr>
          <w:rFonts w:cs="Verdana"/>
          <w:szCs w:val="18"/>
        </w:rPr>
        <w:t>verkopen tegen fiduciaire valuta;</w:t>
      </w:r>
    </w:p>
    <w:p w14:paraId="5ED38BD1" w14:textId="76775E4E" w:rsidR="00467C5E" w:rsidRPr="009A3BE2" w:rsidRDefault="00467C5E" w:rsidP="001825E8">
      <w:pPr>
        <w:pStyle w:val="Lijstalinea"/>
        <w:numPr>
          <w:ilvl w:val="1"/>
          <w:numId w:val="31"/>
        </w:numPr>
        <w:autoSpaceDE w:val="0"/>
        <w:autoSpaceDN w:val="0"/>
        <w:adjustRightInd w:val="0"/>
        <w:jc w:val="both"/>
        <w:rPr>
          <w:rFonts w:cs="Verdana"/>
          <w:szCs w:val="18"/>
        </w:rPr>
      </w:pPr>
      <w:r w:rsidRPr="009A3BE2">
        <w:rPr>
          <w:rFonts w:cs="Verdana"/>
          <w:szCs w:val="18"/>
        </w:rPr>
        <w:t>de totale reële marktwaarde na aftrek van transactiekosten, het totale aantal</w:t>
      </w:r>
      <w:r w:rsidR="00CD2D95">
        <w:rPr>
          <w:rFonts w:cs="Verdana"/>
          <w:szCs w:val="18"/>
        </w:rPr>
        <w:t xml:space="preserve"> </w:t>
      </w:r>
      <w:r w:rsidRPr="009A3BE2">
        <w:rPr>
          <w:rFonts w:cs="Verdana"/>
          <w:szCs w:val="18"/>
        </w:rPr>
        <w:t>eenheden en het aantal te rapporteren transacties met betrekking tot aankopen</w:t>
      </w:r>
      <w:r w:rsidR="00CD2D95">
        <w:rPr>
          <w:rFonts w:cs="Verdana"/>
          <w:szCs w:val="18"/>
        </w:rPr>
        <w:t xml:space="preserve"> </w:t>
      </w:r>
      <w:r w:rsidRPr="009A3BE2">
        <w:rPr>
          <w:rFonts w:cs="Verdana"/>
          <w:szCs w:val="18"/>
        </w:rPr>
        <w:t>tegen andere te rapporteren cryptoactiva;</w:t>
      </w:r>
    </w:p>
    <w:p w14:paraId="2185BC56" w14:textId="5D237450" w:rsidR="00467C5E" w:rsidRPr="009A3BE2" w:rsidRDefault="00467C5E" w:rsidP="001825E8">
      <w:pPr>
        <w:pStyle w:val="Lijstalinea"/>
        <w:numPr>
          <w:ilvl w:val="1"/>
          <w:numId w:val="31"/>
        </w:numPr>
        <w:autoSpaceDE w:val="0"/>
        <w:autoSpaceDN w:val="0"/>
        <w:adjustRightInd w:val="0"/>
        <w:jc w:val="both"/>
        <w:rPr>
          <w:rFonts w:cs="Verdana"/>
          <w:szCs w:val="18"/>
        </w:rPr>
      </w:pPr>
      <w:r w:rsidRPr="009A3BE2">
        <w:rPr>
          <w:rFonts w:cs="Verdana"/>
          <w:szCs w:val="18"/>
        </w:rPr>
        <w:t>de totale reële marktwaarde na aftrek van transactiekosten, het totale aantal</w:t>
      </w:r>
      <w:r w:rsidR="00CD2D95">
        <w:rPr>
          <w:rFonts w:cs="Verdana"/>
          <w:szCs w:val="18"/>
        </w:rPr>
        <w:t xml:space="preserve"> </w:t>
      </w:r>
      <w:r w:rsidRPr="009A3BE2">
        <w:rPr>
          <w:rFonts w:cs="Verdana"/>
          <w:szCs w:val="18"/>
        </w:rPr>
        <w:t>eenheden en het aantal te rapporteren transacties met betrekking tot verkopen</w:t>
      </w:r>
      <w:r w:rsidR="00CD2D95">
        <w:rPr>
          <w:rFonts w:cs="Verdana"/>
          <w:szCs w:val="18"/>
        </w:rPr>
        <w:t xml:space="preserve"> </w:t>
      </w:r>
      <w:r w:rsidRPr="009A3BE2">
        <w:rPr>
          <w:rFonts w:cs="Verdana"/>
          <w:szCs w:val="18"/>
        </w:rPr>
        <w:t>tegen andere te rapporteren cryptoactiva;</w:t>
      </w:r>
    </w:p>
    <w:p w14:paraId="14FCB68F" w14:textId="5CF4824E" w:rsidR="00467C5E" w:rsidRPr="009A3BE2" w:rsidRDefault="00467C5E" w:rsidP="001825E8">
      <w:pPr>
        <w:pStyle w:val="Lijstalinea"/>
        <w:numPr>
          <w:ilvl w:val="1"/>
          <w:numId w:val="31"/>
        </w:numPr>
        <w:autoSpaceDE w:val="0"/>
        <w:autoSpaceDN w:val="0"/>
        <w:adjustRightInd w:val="0"/>
        <w:jc w:val="both"/>
        <w:rPr>
          <w:rFonts w:cs="Verdana"/>
          <w:szCs w:val="18"/>
        </w:rPr>
      </w:pPr>
      <w:r w:rsidRPr="009A3BE2">
        <w:rPr>
          <w:rFonts w:cs="Verdana"/>
          <w:szCs w:val="18"/>
        </w:rPr>
        <w:t>de totale reële marktwaarde, het totale aantal eenheden en het aantal te</w:t>
      </w:r>
      <w:r w:rsidR="00CD2D95">
        <w:rPr>
          <w:rFonts w:cs="Verdana"/>
          <w:szCs w:val="18"/>
        </w:rPr>
        <w:t xml:space="preserve"> </w:t>
      </w:r>
      <w:r w:rsidRPr="009A3BE2">
        <w:rPr>
          <w:rFonts w:cs="Verdana"/>
          <w:szCs w:val="18"/>
        </w:rPr>
        <w:t xml:space="preserve">rapporteren </w:t>
      </w:r>
      <w:proofErr w:type="spellStart"/>
      <w:r w:rsidRPr="009A3BE2">
        <w:rPr>
          <w:rFonts w:cs="Verdana"/>
          <w:szCs w:val="18"/>
        </w:rPr>
        <w:t>retailbetalingstransacties</w:t>
      </w:r>
      <w:proofErr w:type="spellEnd"/>
      <w:r w:rsidRPr="009A3BE2">
        <w:rPr>
          <w:rFonts w:cs="Verdana"/>
          <w:szCs w:val="18"/>
        </w:rPr>
        <w:t>;</w:t>
      </w:r>
    </w:p>
    <w:p w14:paraId="1E689BF2" w14:textId="50AE5A73" w:rsidR="00467C5E" w:rsidRPr="009A3BE2" w:rsidRDefault="00467C5E" w:rsidP="00C00ABB">
      <w:pPr>
        <w:pStyle w:val="Lijstalinea"/>
        <w:numPr>
          <w:ilvl w:val="1"/>
          <w:numId w:val="31"/>
        </w:numPr>
        <w:autoSpaceDE w:val="0"/>
        <w:autoSpaceDN w:val="0"/>
        <w:adjustRightInd w:val="0"/>
        <w:jc w:val="both"/>
        <w:rPr>
          <w:rFonts w:cs="Verdana"/>
          <w:szCs w:val="18"/>
        </w:rPr>
      </w:pPr>
      <w:r w:rsidRPr="009A3BE2">
        <w:rPr>
          <w:rFonts w:cs="Verdana"/>
          <w:szCs w:val="18"/>
        </w:rPr>
        <w:t>de totale reële marktwaarde, het totale aantal eenheden en het aantal te</w:t>
      </w:r>
      <w:r w:rsidR="00CD2D95">
        <w:rPr>
          <w:rFonts w:cs="Verdana"/>
          <w:szCs w:val="18"/>
        </w:rPr>
        <w:t xml:space="preserve"> </w:t>
      </w:r>
      <w:r w:rsidRPr="009A3BE2">
        <w:rPr>
          <w:rFonts w:cs="Verdana"/>
          <w:szCs w:val="18"/>
        </w:rPr>
        <w:t xml:space="preserve">rapporteren transacties, onderverdeeld naar soort overmaking indien bekend </w:t>
      </w:r>
      <w:r w:rsidRPr="009A3BE2">
        <w:rPr>
          <w:rFonts w:cs="Verdana"/>
          <w:szCs w:val="18"/>
        </w:rPr>
        <w:lastRenderedPageBreak/>
        <w:t>bij de</w:t>
      </w:r>
      <w:r w:rsidR="00CD2D95">
        <w:rPr>
          <w:rFonts w:cs="Verdana"/>
          <w:szCs w:val="18"/>
        </w:rPr>
        <w:t xml:space="preserve"> </w:t>
      </w:r>
      <w:r w:rsidRPr="009A3BE2">
        <w:rPr>
          <w:rFonts w:cs="Verdana"/>
          <w:szCs w:val="18"/>
        </w:rPr>
        <w:t>rapporterende aanbieder van cryptoactivadiensten, met betrekking tot</w:t>
      </w:r>
      <w:r w:rsidR="00CD2D95">
        <w:rPr>
          <w:rFonts w:cs="Verdana"/>
          <w:szCs w:val="18"/>
        </w:rPr>
        <w:t xml:space="preserve"> </w:t>
      </w:r>
      <w:r w:rsidRPr="009A3BE2">
        <w:rPr>
          <w:rFonts w:cs="Verdana"/>
          <w:szCs w:val="18"/>
        </w:rPr>
        <w:t xml:space="preserve">overdrachten aan een te rapporteren gebruiker die niet onder de punten </w:t>
      </w:r>
      <w:r w:rsidR="001825E8">
        <w:rPr>
          <w:rFonts w:cs="Verdana"/>
          <w:szCs w:val="18"/>
        </w:rPr>
        <w:t>b</w:t>
      </w:r>
      <w:r w:rsidRPr="009A3BE2">
        <w:rPr>
          <w:rFonts w:cs="Verdana"/>
          <w:szCs w:val="18"/>
        </w:rPr>
        <w:t xml:space="preserve">° en </w:t>
      </w:r>
      <w:r w:rsidR="001825E8">
        <w:rPr>
          <w:rFonts w:cs="Verdana"/>
          <w:szCs w:val="18"/>
        </w:rPr>
        <w:t>d</w:t>
      </w:r>
      <w:r w:rsidRPr="009A3BE2">
        <w:rPr>
          <w:rFonts w:cs="Verdana"/>
          <w:szCs w:val="18"/>
        </w:rPr>
        <w:t>°</w:t>
      </w:r>
      <w:r w:rsidR="00CD2D95">
        <w:rPr>
          <w:rFonts w:cs="Verdana"/>
          <w:szCs w:val="18"/>
        </w:rPr>
        <w:t xml:space="preserve"> </w:t>
      </w:r>
      <w:r w:rsidRPr="009A3BE2">
        <w:rPr>
          <w:rFonts w:cs="Verdana"/>
          <w:szCs w:val="18"/>
        </w:rPr>
        <w:t>vallen; en</w:t>
      </w:r>
    </w:p>
    <w:p w14:paraId="5715495A" w14:textId="11FF0D75" w:rsidR="00C00ABB" w:rsidRDefault="00467C5E" w:rsidP="00C00ABB">
      <w:pPr>
        <w:pStyle w:val="Lijstalinea"/>
        <w:numPr>
          <w:ilvl w:val="1"/>
          <w:numId w:val="31"/>
        </w:numPr>
        <w:autoSpaceDE w:val="0"/>
        <w:autoSpaceDN w:val="0"/>
        <w:adjustRightInd w:val="0"/>
        <w:jc w:val="both"/>
        <w:rPr>
          <w:rFonts w:cs="Verdana"/>
          <w:szCs w:val="18"/>
        </w:rPr>
      </w:pPr>
      <w:r w:rsidRPr="009A3BE2">
        <w:rPr>
          <w:rFonts w:cs="Verdana"/>
          <w:szCs w:val="18"/>
        </w:rPr>
        <w:t>de totale reële marktwaarde, het totale aantal eenheden en het aantal te</w:t>
      </w:r>
      <w:r w:rsidR="00CD2D95">
        <w:rPr>
          <w:rFonts w:cs="Verdana"/>
          <w:szCs w:val="18"/>
        </w:rPr>
        <w:t xml:space="preserve"> </w:t>
      </w:r>
      <w:r w:rsidRPr="009A3BE2">
        <w:rPr>
          <w:rFonts w:cs="Verdana"/>
          <w:szCs w:val="18"/>
        </w:rPr>
        <w:t>rapporteren transacties, onderverdeeld naar soort overmaking indien bekend bij de</w:t>
      </w:r>
      <w:r w:rsidR="00CD2D95">
        <w:rPr>
          <w:rFonts w:cs="Verdana"/>
          <w:szCs w:val="18"/>
        </w:rPr>
        <w:t xml:space="preserve"> </w:t>
      </w:r>
      <w:r w:rsidRPr="009A3BE2">
        <w:rPr>
          <w:rFonts w:cs="Verdana"/>
          <w:szCs w:val="18"/>
        </w:rPr>
        <w:t>rapporterende aanbieder van cryptoactivadiensten, met betrekking tot</w:t>
      </w:r>
      <w:r w:rsidR="00FA6AEC">
        <w:rPr>
          <w:rFonts w:cs="Verdana"/>
          <w:szCs w:val="18"/>
        </w:rPr>
        <w:t xml:space="preserve"> </w:t>
      </w:r>
      <w:r w:rsidRPr="009A3BE2">
        <w:rPr>
          <w:rFonts w:cs="Verdana"/>
          <w:szCs w:val="18"/>
        </w:rPr>
        <w:t xml:space="preserve">overdrachten door een te rapporteren gebruiker die niet onder de punten </w:t>
      </w:r>
      <w:r w:rsidR="001825E8">
        <w:rPr>
          <w:rFonts w:cs="Verdana"/>
          <w:szCs w:val="18"/>
        </w:rPr>
        <w:t>c</w:t>
      </w:r>
      <w:r w:rsidRPr="009A3BE2">
        <w:rPr>
          <w:rFonts w:cs="Verdana"/>
          <w:szCs w:val="18"/>
        </w:rPr>
        <w:t xml:space="preserve">°, </w:t>
      </w:r>
      <w:r w:rsidR="001825E8">
        <w:rPr>
          <w:rFonts w:cs="Verdana"/>
          <w:szCs w:val="18"/>
        </w:rPr>
        <w:t>e</w:t>
      </w:r>
      <w:r w:rsidRPr="009A3BE2">
        <w:rPr>
          <w:rFonts w:cs="Verdana"/>
          <w:szCs w:val="18"/>
        </w:rPr>
        <w:t>° en</w:t>
      </w:r>
      <w:r w:rsidR="00CD2D95">
        <w:rPr>
          <w:rFonts w:cs="Verdana"/>
          <w:szCs w:val="18"/>
        </w:rPr>
        <w:t xml:space="preserve"> </w:t>
      </w:r>
      <w:r w:rsidR="001825E8">
        <w:rPr>
          <w:rFonts w:cs="Verdana"/>
          <w:szCs w:val="18"/>
        </w:rPr>
        <w:t>f</w:t>
      </w:r>
      <w:r w:rsidRPr="009A3BE2">
        <w:rPr>
          <w:rFonts w:cs="Verdana"/>
          <w:szCs w:val="18"/>
        </w:rPr>
        <w:t>° vallen;</w:t>
      </w:r>
    </w:p>
    <w:p w14:paraId="24792FD1" w14:textId="732CBB6D" w:rsidR="001825E8" w:rsidRPr="00C00ABB" w:rsidRDefault="001825E8" w:rsidP="00C00ABB">
      <w:pPr>
        <w:pStyle w:val="Lijstalinea"/>
        <w:numPr>
          <w:ilvl w:val="1"/>
          <w:numId w:val="31"/>
        </w:numPr>
        <w:autoSpaceDE w:val="0"/>
        <w:autoSpaceDN w:val="0"/>
        <w:adjustRightInd w:val="0"/>
        <w:jc w:val="both"/>
        <w:rPr>
          <w:rFonts w:cs="Verdana"/>
          <w:szCs w:val="18"/>
        </w:rPr>
      </w:pPr>
      <w:r w:rsidRPr="00C00ABB">
        <w:rPr>
          <w:rFonts w:cs="Verdana"/>
          <w:szCs w:val="18"/>
        </w:rPr>
        <w:t xml:space="preserve">de totale reële marktwaarde en het totale aantal eenheden van Overdrachten die door de Rapporterende aanbieder van cryptoactivadiensten naar in Verordening (EU) 2023/1114 bedoelde </w:t>
      </w:r>
      <w:proofErr w:type="spellStart"/>
      <w:r w:rsidRPr="00C00ABB">
        <w:rPr>
          <w:rFonts w:cs="Verdana"/>
          <w:szCs w:val="18"/>
        </w:rPr>
        <w:t>distributed-ledger</w:t>
      </w:r>
      <w:proofErr w:type="spellEnd"/>
      <w:r w:rsidR="00B75A37">
        <w:rPr>
          <w:rFonts w:cs="Verdana"/>
          <w:szCs w:val="18"/>
        </w:rPr>
        <w:t xml:space="preserve"> </w:t>
      </w:r>
      <w:r w:rsidRPr="00C00ABB">
        <w:rPr>
          <w:rFonts w:cs="Verdana"/>
          <w:szCs w:val="18"/>
        </w:rPr>
        <w:t>adressen zijn uitgevoerd, waarvan niet bekend is dat zij verbonden zijn met een aanbieder van virtuele</w:t>
      </w:r>
      <w:r w:rsidR="00B75A37">
        <w:rPr>
          <w:rFonts w:cs="Verdana"/>
          <w:szCs w:val="18"/>
        </w:rPr>
        <w:t xml:space="preserve"> </w:t>
      </w:r>
      <w:r w:rsidRPr="00C00ABB">
        <w:rPr>
          <w:rFonts w:cs="Verdana"/>
          <w:szCs w:val="18"/>
        </w:rPr>
        <w:t>activadiensten of een financiële instelling.</w:t>
      </w:r>
    </w:p>
    <w:p w14:paraId="0A75419F" w14:textId="3BFCEBE6" w:rsidR="008E6BFB" w:rsidRDefault="008E6BFB" w:rsidP="001825E8">
      <w:pPr>
        <w:pStyle w:val="Lijstalinea"/>
        <w:autoSpaceDE w:val="0"/>
        <w:autoSpaceDN w:val="0"/>
        <w:adjustRightInd w:val="0"/>
        <w:jc w:val="both"/>
      </w:pPr>
    </w:p>
    <w:p w14:paraId="2BA2909D" w14:textId="482C079C" w:rsidR="008E6BFB" w:rsidRDefault="00397939" w:rsidP="00397939">
      <w:pPr>
        <w:autoSpaceDE w:val="0"/>
        <w:autoSpaceDN w:val="0"/>
        <w:adjustRightInd w:val="0"/>
        <w:jc w:val="both"/>
        <w:rPr>
          <w:rFonts w:cs="Verdana"/>
          <w:szCs w:val="18"/>
        </w:rPr>
      </w:pPr>
      <w:r>
        <w:rPr>
          <w:rFonts w:cs="Verdana"/>
          <w:szCs w:val="18"/>
        </w:rPr>
        <w:t xml:space="preserve">Het is </w:t>
      </w:r>
      <w:r w:rsidR="003C2C01">
        <w:rPr>
          <w:rFonts w:cs="Verdana"/>
          <w:szCs w:val="18"/>
        </w:rPr>
        <w:t xml:space="preserve">niet vereist dat </w:t>
      </w:r>
      <w:proofErr w:type="spellStart"/>
      <w:r w:rsidR="003C2C01">
        <w:rPr>
          <w:rFonts w:cs="Verdana"/>
          <w:szCs w:val="18"/>
        </w:rPr>
        <w:t>distributed-ledger</w:t>
      </w:r>
      <w:proofErr w:type="spellEnd"/>
      <w:r w:rsidR="003C2C01">
        <w:rPr>
          <w:rFonts w:cs="Verdana"/>
          <w:szCs w:val="18"/>
        </w:rPr>
        <w:t xml:space="preserve"> adressen of </w:t>
      </w:r>
      <w:proofErr w:type="spellStart"/>
      <w:r w:rsidR="003C2C01">
        <w:rPr>
          <w:rFonts w:cs="Verdana"/>
          <w:szCs w:val="18"/>
        </w:rPr>
        <w:t>walletadressen</w:t>
      </w:r>
      <w:proofErr w:type="spellEnd"/>
      <w:r w:rsidR="003C2C01">
        <w:rPr>
          <w:rFonts w:cs="Verdana"/>
          <w:szCs w:val="18"/>
        </w:rPr>
        <w:t xml:space="preserve"> die zijn betrokken bij de overdrachten, worden gerapporteerd. Wel zal de rapporterende aanbieder van cryptoactivadiensten die adressen </w:t>
      </w:r>
      <w:r w:rsidR="003E359B">
        <w:rPr>
          <w:rFonts w:cs="Verdana"/>
          <w:szCs w:val="18"/>
        </w:rPr>
        <w:t xml:space="preserve">zeven </w:t>
      </w:r>
      <w:r w:rsidR="003C2C01">
        <w:rPr>
          <w:rFonts w:cs="Verdana"/>
          <w:szCs w:val="18"/>
        </w:rPr>
        <w:t>jaar volgend op het einde van de rapportageperiode moeten bewaren</w:t>
      </w:r>
      <w:r w:rsidR="006B29AD">
        <w:rPr>
          <w:rFonts w:cs="Verdana"/>
          <w:szCs w:val="18"/>
        </w:rPr>
        <w:t xml:space="preserve"> (zie ook hierna)</w:t>
      </w:r>
      <w:r w:rsidR="003C2C01">
        <w:rPr>
          <w:rFonts w:cs="Verdana"/>
          <w:szCs w:val="18"/>
        </w:rPr>
        <w:t xml:space="preserve">. </w:t>
      </w:r>
    </w:p>
    <w:p w14:paraId="796955DA" w14:textId="77777777" w:rsidR="003C2C01" w:rsidRDefault="003C2C01" w:rsidP="000A2946">
      <w:pPr>
        <w:autoSpaceDE w:val="0"/>
        <w:autoSpaceDN w:val="0"/>
        <w:adjustRightInd w:val="0"/>
        <w:rPr>
          <w:rFonts w:cs="Verdana"/>
          <w:szCs w:val="18"/>
        </w:rPr>
      </w:pPr>
    </w:p>
    <w:p w14:paraId="22F6FA09" w14:textId="72887E7C" w:rsidR="000A2946" w:rsidRPr="000A2946" w:rsidRDefault="004A244F" w:rsidP="009915F5">
      <w:pPr>
        <w:autoSpaceDE w:val="0"/>
        <w:autoSpaceDN w:val="0"/>
        <w:adjustRightInd w:val="0"/>
        <w:jc w:val="both"/>
        <w:rPr>
          <w:rFonts w:cs="Verdana"/>
          <w:szCs w:val="18"/>
        </w:rPr>
      </w:pPr>
      <w:r>
        <w:rPr>
          <w:rFonts w:cs="Verdana"/>
          <w:szCs w:val="18"/>
        </w:rPr>
        <w:t xml:space="preserve">Gegevens over de te rapporteren </w:t>
      </w:r>
      <w:r w:rsidR="00AC1A36">
        <w:rPr>
          <w:rFonts w:cs="Verdana"/>
          <w:szCs w:val="18"/>
        </w:rPr>
        <w:t>gebruiker</w:t>
      </w:r>
      <w:r>
        <w:rPr>
          <w:rFonts w:cs="Verdana"/>
          <w:szCs w:val="18"/>
        </w:rPr>
        <w:t>s</w:t>
      </w:r>
      <w:r w:rsidR="00AC1A36">
        <w:rPr>
          <w:rFonts w:cs="Verdana"/>
          <w:szCs w:val="18"/>
        </w:rPr>
        <w:t xml:space="preserve"> </w:t>
      </w:r>
      <w:r>
        <w:rPr>
          <w:rFonts w:cs="Verdana"/>
          <w:szCs w:val="18"/>
        </w:rPr>
        <w:t xml:space="preserve">van cryptoactivadiensten </w:t>
      </w:r>
      <w:r w:rsidR="00AC1A36">
        <w:rPr>
          <w:rFonts w:cs="Verdana"/>
          <w:szCs w:val="18"/>
        </w:rPr>
        <w:t>moet</w:t>
      </w:r>
      <w:r>
        <w:rPr>
          <w:rFonts w:cs="Verdana"/>
          <w:szCs w:val="18"/>
        </w:rPr>
        <w:t>en</w:t>
      </w:r>
      <w:r w:rsidR="00AC1A36">
        <w:rPr>
          <w:rFonts w:cs="Verdana"/>
          <w:szCs w:val="18"/>
        </w:rPr>
        <w:t xml:space="preserve"> jaarlijks per type cryptoactivum en per type transactie </w:t>
      </w:r>
      <w:r>
        <w:rPr>
          <w:rFonts w:cs="Verdana"/>
          <w:szCs w:val="18"/>
        </w:rPr>
        <w:t xml:space="preserve">“op TIN-niveau/per TIN” </w:t>
      </w:r>
      <w:r w:rsidR="00AC1A36">
        <w:rPr>
          <w:rFonts w:cs="Verdana"/>
          <w:szCs w:val="18"/>
        </w:rPr>
        <w:t>worden geaggregeerd (samengevoegd)</w:t>
      </w:r>
      <w:r>
        <w:rPr>
          <w:rFonts w:cs="Verdana"/>
          <w:szCs w:val="18"/>
        </w:rPr>
        <w:t>. O</w:t>
      </w:r>
      <w:r w:rsidR="00AC1A36">
        <w:rPr>
          <w:rFonts w:cs="Verdana"/>
          <w:szCs w:val="18"/>
        </w:rPr>
        <w:t xml:space="preserve">pvolgend </w:t>
      </w:r>
      <w:r>
        <w:rPr>
          <w:rFonts w:cs="Verdana"/>
          <w:szCs w:val="18"/>
        </w:rPr>
        <w:t xml:space="preserve">worden deze gegevens </w:t>
      </w:r>
      <w:r w:rsidR="00AC1A36">
        <w:rPr>
          <w:rFonts w:cs="Verdana"/>
          <w:szCs w:val="18"/>
        </w:rPr>
        <w:t>gerapporteerd</w:t>
      </w:r>
      <w:r w:rsidR="00135C57">
        <w:rPr>
          <w:rFonts w:cs="Verdana"/>
          <w:szCs w:val="18"/>
        </w:rPr>
        <w:t xml:space="preserve"> aan de Belastingdienst. </w:t>
      </w:r>
      <w:r w:rsidR="00D93806">
        <w:rPr>
          <w:rFonts w:cs="Verdana"/>
          <w:szCs w:val="18"/>
        </w:rPr>
        <w:t xml:space="preserve">Deze dienen te worden gerapporteerd voor elke (lid)staat waarvan de te rapporteren gebruiker, in de eigenverklaring, heeft aangegeven fiscaal woonachtig of gevestigd te zijn. </w:t>
      </w:r>
    </w:p>
    <w:p w14:paraId="5EE859D0" w14:textId="77777777" w:rsidR="009A3BE2" w:rsidRDefault="009A3BE2" w:rsidP="009A3BE2"/>
    <w:p w14:paraId="268EA516" w14:textId="2B96E987" w:rsidR="008E6BFB" w:rsidRDefault="00962108" w:rsidP="00397BCD">
      <w:pPr>
        <w:autoSpaceDE w:val="0"/>
        <w:autoSpaceDN w:val="0"/>
        <w:adjustRightInd w:val="0"/>
        <w:jc w:val="both"/>
        <w:rPr>
          <w:rFonts w:cs="ArialUnicodeMS_PDF_Subset"/>
          <w:szCs w:val="18"/>
        </w:rPr>
      </w:pPr>
      <w:r w:rsidRPr="000C3D3C">
        <w:rPr>
          <w:rFonts w:cs="ArialUnicodeMS_PDF_Subset"/>
          <w:szCs w:val="18"/>
          <w:u w:val="single"/>
        </w:rPr>
        <w:t>Let op:</w:t>
      </w:r>
      <w:r>
        <w:rPr>
          <w:rFonts w:cs="ArialUnicodeMS_PDF_Subset"/>
          <w:szCs w:val="18"/>
        </w:rPr>
        <w:t xml:space="preserve"> De rapportageplicht </w:t>
      </w:r>
      <w:r w:rsidR="000A5C93">
        <w:rPr>
          <w:rFonts w:cs="ArialUnicodeMS_PDF_Subset"/>
          <w:szCs w:val="18"/>
        </w:rPr>
        <w:t xml:space="preserve">over </w:t>
      </w:r>
      <w:r>
        <w:rPr>
          <w:rFonts w:cs="ArialUnicodeMS_PDF_Subset"/>
          <w:szCs w:val="18"/>
        </w:rPr>
        <w:t xml:space="preserve">de bovengenoemde te rapporteren transacties in cryptoactiva geldt (ook) voor binnenlandse transacties op grond van voorgestelde wijziging van de </w:t>
      </w:r>
      <w:proofErr w:type="spellStart"/>
      <w:r>
        <w:rPr>
          <w:rFonts w:cs="ArialUnicodeMS_PDF_Subset"/>
          <w:szCs w:val="18"/>
        </w:rPr>
        <w:t>A</w:t>
      </w:r>
      <w:r w:rsidR="00397BCD">
        <w:rPr>
          <w:rFonts w:cs="ArialUnicodeMS_PDF_Subset"/>
          <w:szCs w:val="18"/>
        </w:rPr>
        <w:t>wr</w:t>
      </w:r>
      <w:proofErr w:type="spellEnd"/>
      <w:r>
        <w:rPr>
          <w:rFonts w:cs="ArialUnicodeMS_PDF_Subset"/>
          <w:szCs w:val="18"/>
        </w:rPr>
        <w:t xml:space="preserve">. </w:t>
      </w:r>
      <w:r w:rsidR="005B7855">
        <w:rPr>
          <w:rFonts w:cs="ArialUnicodeMS_PDF_Subset"/>
          <w:szCs w:val="18"/>
        </w:rPr>
        <w:t>Zie hie</w:t>
      </w:r>
      <w:r w:rsidR="000A5C93">
        <w:rPr>
          <w:rFonts w:cs="ArialUnicodeMS_PDF_Subset"/>
          <w:szCs w:val="18"/>
        </w:rPr>
        <w:t>r</w:t>
      </w:r>
      <w:r w:rsidR="005B7855">
        <w:rPr>
          <w:rFonts w:cs="ArialUnicodeMS_PDF_Subset"/>
          <w:szCs w:val="18"/>
        </w:rPr>
        <w:t xml:space="preserve">voor artikel 53ter </w:t>
      </w:r>
      <w:proofErr w:type="spellStart"/>
      <w:r w:rsidR="005B7855">
        <w:rPr>
          <w:rFonts w:cs="ArialUnicodeMS_PDF_Subset"/>
          <w:szCs w:val="18"/>
        </w:rPr>
        <w:t>A</w:t>
      </w:r>
      <w:r w:rsidR="00397BCD">
        <w:rPr>
          <w:rFonts w:cs="ArialUnicodeMS_PDF_Subset"/>
          <w:szCs w:val="18"/>
        </w:rPr>
        <w:t>wr</w:t>
      </w:r>
      <w:proofErr w:type="spellEnd"/>
      <w:r w:rsidR="005B7855">
        <w:rPr>
          <w:rFonts w:cs="ArialUnicodeMS_PDF_Subset"/>
          <w:szCs w:val="18"/>
        </w:rPr>
        <w:t xml:space="preserve"> genoemd in paragraaf 2.1.</w:t>
      </w:r>
      <w:r w:rsidR="00397BCD">
        <w:rPr>
          <w:rFonts w:cs="ArialUnicodeMS_PDF_Subset"/>
          <w:szCs w:val="18"/>
        </w:rPr>
        <w:t xml:space="preserve"> </w:t>
      </w:r>
      <w:r>
        <w:rPr>
          <w:rFonts w:cs="ArialUnicodeMS_PDF_Subset"/>
          <w:szCs w:val="18"/>
        </w:rPr>
        <w:t>De rapportageplicht geldt (ook) over ingezetenen van niet</w:t>
      </w:r>
      <w:r w:rsidR="00C94D53">
        <w:rPr>
          <w:rFonts w:cs="ArialUnicodeMS_PDF_Subset"/>
          <w:szCs w:val="18"/>
        </w:rPr>
        <w:t xml:space="preserve">-Unierechtsgebieden </w:t>
      </w:r>
      <w:r w:rsidR="000C3D3C">
        <w:rPr>
          <w:rFonts w:cs="ArialUnicodeMS_PDF_Subset"/>
          <w:szCs w:val="18"/>
        </w:rPr>
        <w:t>op basis van</w:t>
      </w:r>
      <w:r w:rsidR="00C94D53">
        <w:rPr>
          <w:rFonts w:cs="ArialUnicodeMS_PDF_Subset"/>
          <w:szCs w:val="18"/>
        </w:rPr>
        <w:t xml:space="preserve"> het CARF van de OESO. </w:t>
      </w:r>
    </w:p>
    <w:p w14:paraId="3394A635" w14:textId="77777777" w:rsidR="00382DF2" w:rsidRDefault="00382DF2" w:rsidP="00F7438C">
      <w:pPr>
        <w:autoSpaceDE w:val="0"/>
        <w:autoSpaceDN w:val="0"/>
        <w:adjustRightInd w:val="0"/>
        <w:rPr>
          <w:rFonts w:cs="ArialUnicodeMS_PDF_Subset"/>
          <w:szCs w:val="18"/>
        </w:rPr>
      </w:pPr>
    </w:p>
    <w:bookmarkEnd w:id="60"/>
    <w:p w14:paraId="09DE3DDD" w14:textId="19DBDCFE" w:rsidR="00B66A66" w:rsidRPr="00386E3F" w:rsidRDefault="00863ED5" w:rsidP="00B66A66">
      <w:pPr>
        <w:rPr>
          <w:b/>
        </w:rPr>
      </w:pPr>
      <w:r>
        <w:rPr>
          <w:b/>
        </w:rPr>
        <w:t xml:space="preserve">Voorbeeld: </w:t>
      </w:r>
      <w:r w:rsidR="00DC0A47">
        <w:rPr>
          <w:b/>
        </w:rPr>
        <w:t>Ontbreken van een re</w:t>
      </w:r>
      <w:r w:rsidR="008538DF">
        <w:rPr>
          <w:b/>
        </w:rPr>
        <w:t>ë</w:t>
      </w:r>
      <w:r w:rsidR="00DC0A47">
        <w:rPr>
          <w:b/>
        </w:rPr>
        <w:t xml:space="preserve">le marktwaarde </w:t>
      </w:r>
      <w:r>
        <w:rPr>
          <w:b/>
        </w:rPr>
        <w:t>bij crypto</w:t>
      </w:r>
      <w:r w:rsidR="00801194">
        <w:rPr>
          <w:b/>
        </w:rPr>
        <w:t>-</w:t>
      </w:r>
      <w:proofErr w:type="spellStart"/>
      <w:r>
        <w:rPr>
          <w:b/>
        </w:rPr>
        <w:t>to</w:t>
      </w:r>
      <w:proofErr w:type="spellEnd"/>
      <w:r w:rsidR="00801194">
        <w:rPr>
          <w:b/>
        </w:rPr>
        <w:t>-</w:t>
      </w:r>
      <w:r>
        <w:rPr>
          <w:b/>
        </w:rPr>
        <w:t>crypto</w:t>
      </w:r>
      <w:r w:rsidR="00801194">
        <w:rPr>
          <w:b/>
        </w:rPr>
        <w:t xml:space="preserve"> </w:t>
      </w:r>
      <w:r>
        <w:rPr>
          <w:b/>
        </w:rPr>
        <w:t>transa</w:t>
      </w:r>
      <w:r w:rsidR="00801194">
        <w:rPr>
          <w:b/>
        </w:rPr>
        <w:t>c</w:t>
      </w:r>
      <w:r>
        <w:rPr>
          <w:b/>
        </w:rPr>
        <w:t>tions</w:t>
      </w:r>
    </w:p>
    <w:p w14:paraId="1EC8EC17" w14:textId="113E3F45" w:rsidR="00B66A66" w:rsidRDefault="00863ED5" w:rsidP="001823A1">
      <w:pPr>
        <w:jc w:val="both"/>
      </w:pPr>
      <w:r>
        <w:t>Een geb</w:t>
      </w:r>
      <w:r w:rsidR="000A5C93">
        <w:t>r</w:t>
      </w:r>
      <w:r>
        <w:t>uiker van cryptoactiva maakt gebruik van een rapporterende aanbieder van cryptoactivadiensten. Hij wenst zijn cryptoactivum A te verkopen voor het verwerven aankopen cryptoactivum B. Cryptoactivum B is recentelijk gelanceerd en de rapporterende aanbieder van cryptoactivadiensten is niet in staat om de reële marktwaarde te bepalen, omdat een waarde in fiducia</w:t>
      </w:r>
      <w:r w:rsidR="000A5C93">
        <w:t>i</w:t>
      </w:r>
      <w:r>
        <w:t>re valuta niet beschikbaar is. Om de aankoopwaarde van cryptoactivum B vast te stellen, mag de rapport</w:t>
      </w:r>
      <w:r w:rsidR="000A5C93">
        <w:t>e</w:t>
      </w:r>
      <w:r>
        <w:t xml:space="preserve">rende aanbieder een impliciete omrekening </w:t>
      </w:r>
      <w:r w:rsidR="00100370">
        <w:t>uit</w:t>
      </w:r>
      <w:r>
        <w:t xml:space="preserve">voeren </w:t>
      </w:r>
      <w:r w:rsidR="00100370">
        <w:t>door voor het te rapporteren cryptoactivum B hetzelfde fiduciaire valutabedrag te gebruiken dat is vastgesteld voor cryptoactivum A</w:t>
      </w:r>
      <w:r w:rsidR="00100370" w:rsidRPr="00DC0A47">
        <w:rPr>
          <w:rStyle w:val="Voetnootmarkering"/>
          <w:vertAlign w:val="superscript"/>
        </w:rPr>
        <w:footnoteReference w:id="16"/>
      </w:r>
      <w:r w:rsidR="00DC0A47">
        <w:t>.</w:t>
      </w:r>
      <w:r>
        <w:t xml:space="preserve"> </w:t>
      </w:r>
    </w:p>
    <w:p w14:paraId="5C5F9525" w14:textId="77777777" w:rsidR="003C2C01" w:rsidRDefault="003C2C01" w:rsidP="00B66A66"/>
    <w:p w14:paraId="39BF7E37" w14:textId="77777777" w:rsidR="00E25FA2" w:rsidRPr="00E25FA2" w:rsidRDefault="00E25FA2" w:rsidP="00E25FA2">
      <w:pPr>
        <w:autoSpaceDE w:val="0"/>
        <w:autoSpaceDN w:val="0"/>
        <w:adjustRightInd w:val="0"/>
        <w:rPr>
          <w:rFonts w:cs="Verdana"/>
          <w:b/>
          <w:bCs/>
          <w:szCs w:val="18"/>
        </w:rPr>
      </w:pPr>
      <w:r w:rsidRPr="00E25FA2">
        <w:rPr>
          <w:rFonts w:cs="Verdana"/>
          <w:b/>
          <w:bCs/>
          <w:szCs w:val="18"/>
        </w:rPr>
        <w:t>Omrekenen transacties naar Euro</w:t>
      </w:r>
    </w:p>
    <w:p w14:paraId="79D652D8" w14:textId="13511C3D" w:rsidR="009224C1" w:rsidRPr="009224C1" w:rsidRDefault="006B29AD" w:rsidP="009224C1">
      <w:pPr>
        <w:spacing w:line="240" w:lineRule="atLeast"/>
        <w:jc w:val="both"/>
      </w:pPr>
      <w:r>
        <w:t>A</w:t>
      </w:r>
      <w:r w:rsidR="009224C1" w:rsidRPr="009224C1">
        <w:t xml:space="preserve">rtikel 10ob, zesde lid, WIB regelt hoe de betaalde en ontvangen bedragen voor de aankoop of verkoop van cryptoactiva tegen fiduciaire valuta, moeten worden gerapporteerd. Deze bedragen moeten worden gerapporteerd in de fiduciaire valuta - na aftrek van transactiekosten - waarin zij zijn betaald of ontvangen. Indien de bedragen in meerdere fiduciaire valuta’s zijn betaald of ontvangen, moeten de bedragen in één valuta worden gerapporteerd, die op het tijdstip van elke te rapporteren transactie wordt omgerekend op een wijze die door de rapporterende aanbieder van cryptoactivadiensten consequent wordt toegepast. </w:t>
      </w:r>
    </w:p>
    <w:p w14:paraId="57733ECF" w14:textId="77777777" w:rsidR="009224C1" w:rsidRDefault="009224C1" w:rsidP="009224C1">
      <w:pPr>
        <w:pStyle w:val="Default"/>
        <w:keepNext/>
        <w:rPr>
          <w:rFonts w:ascii="Verdana" w:hAnsi="Verdana"/>
          <w:color w:val="auto"/>
          <w:sz w:val="18"/>
        </w:rPr>
      </w:pPr>
    </w:p>
    <w:p w14:paraId="415B2CA3" w14:textId="397E0095" w:rsidR="009224C1" w:rsidRPr="009224C1" w:rsidRDefault="009224C1" w:rsidP="009224C1">
      <w:pPr>
        <w:pStyle w:val="Default"/>
        <w:keepNext/>
        <w:rPr>
          <w:color w:val="auto"/>
        </w:rPr>
      </w:pPr>
      <w:r w:rsidRPr="009224C1">
        <w:rPr>
          <w:rFonts w:ascii="Verdana" w:hAnsi="Verdana"/>
          <w:color w:val="auto"/>
          <w:sz w:val="18"/>
        </w:rPr>
        <w:t xml:space="preserve">De rapporterende aanbieder van cryptoactivadiensten kan bijvoorbeeld de contante koers op het moment van de transactie gebruiken om dergelijke bedragen om te rekenen en vast te stellen op één enkele fiduciaire valuta. Verder zal de rapporterende aanbieder van cryptoactivadiensten om te rapporteren alle transacties </w:t>
      </w:r>
      <w:r w:rsidRPr="009224C1">
        <w:rPr>
          <w:rFonts w:ascii="Verdana" w:hAnsi="Verdana"/>
          <w:color w:val="auto"/>
          <w:sz w:val="18"/>
        </w:rPr>
        <w:lastRenderedPageBreak/>
        <w:t>moeten opsommen die toe te kennen zijn aan elke te rapporteren categorie voor elke soort te rapporteren cryptoactivum, omgerekend zoals hiervoor is vermeld</w:t>
      </w:r>
      <w:r w:rsidR="006B29AD">
        <w:rPr>
          <w:rFonts w:ascii="Verdana" w:hAnsi="Verdana"/>
          <w:color w:val="auto"/>
          <w:sz w:val="18"/>
        </w:rPr>
        <w:t>.</w:t>
      </w:r>
    </w:p>
    <w:p w14:paraId="4F69FD5B" w14:textId="77777777" w:rsidR="009224C1" w:rsidRPr="009224C1" w:rsidRDefault="009224C1" w:rsidP="00E25FA2">
      <w:pPr>
        <w:pStyle w:val="Default"/>
        <w:keepNext/>
        <w:rPr>
          <w:color w:val="auto"/>
        </w:rPr>
      </w:pPr>
    </w:p>
    <w:p w14:paraId="165B8C2E" w14:textId="2B3F28E5" w:rsidR="00E25FA2" w:rsidRDefault="00E25FA2" w:rsidP="000C3D3C">
      <w:pPr>
        <w:pStyle w:val="Default"/>
        <w:keepNext/>
        <w:jc w:val="both"/>
      </w:pPr>
      <w:r w:rsidRPr="00557BCF">
        <w:rPr>
          <w:rStyle w:val="cf01"/>
          <w:rFonts w:ascii="Verdana" w:hAnsi="Verdana"/>
        </w:rPr>
        <w:t xml:space="preserve">De waarde van de omwisseltransactie en de overboekingen worden omgerekend naar euro op het moment dat de transactie/overboeking plaatsvindt. Vervolgens worden deze waardes per soort cryptoactiva en per soort omwisseltransactie opgeteld en gerapporteerd (dus bijv. alle omwisselingen van euro naar </w:t>
      </w:r>
      <w:proofErr w:type="spellStart"/>
      <w:r w:rsidRPr="00557BCF">
        <w:rPr>
          <w:rStyle w:val="cf01"/>
          <w:rFonts w:ascii="Verdana" w:hAnsi="Verdana"/>
        </w:rPr>
        <w:t>bitcoin</w:t>
      </w:r>
      <w:proofErr w:type="spellEnd"/>
      <w:r w:rsidRPr="00557BCF">
        <w:rPr>
          <w:rStyle w:val="cf01"/>
          <w:rFonts w:ascii="Verdana" w:hAnsi="Verdana"/>
        </w:rPr>
        <w:t xml:space="preserve"> in een te rapporteren jaar; alle omwisselingen van </w:t>
      </w:r>
      <w:proofErr w:type="spellStart"/>
      <w:r w:rsidRPr="00557BCF">
        <w:rPr>
          <w:rStyle w:val="cf01"/>
          <w:rFonts w:ascii="Verdana" w:hAnsi="Verdana"/>
        </w:rPr>
        <w:t>bitcoin</w:t>
      </w:r>
      <w:proofErr w:type="spellEnd"/>
      <w:r w:rsidRPr="00557BCF">
        <w:rPr>
          <w:rStyle w:val="cf01"/>
          <w:rFonts w:ascii="Verdana" w:hAnsi="Verdana"/>
        </w:rPr>
        <w:t xml:space="preserve"> naar </w:t>
      </w:r>
      <w:proofErr w:type="spellStart"/>
      <w:r w:rsidRPr="00557BCF">
        <w:rPr>
          <w:rStyle w:val="cf01"/>
          <w:rFonts w:ascii="Verdana" w:hAnsi="Verdana"/>
        </w:rPr>
        <w:t>ethereum</w:t>
      </w:r>
      <w:proofErr w:type="spellEnd"/>
      <w:r w:rsidRPr="00557BCF">
        <w:rPr>
          <w:rStyle w:val="cf01"/>
          <w:rFonts w:ascii="Verdana" w:hAnsi="Verdana"/>
        </w:rPr>
        <w:t xml:space="preserve"> in een te rapporteren jaar).</w:t>
      </w:r>
    </w:p>
    <w:p w14:paraId="6EE10857" w14:textId="22A84068" w:rsidR="003E359B" w:rsidRDefault="003E359B" w:rsidP="003E359B">
      <w:pPr>
        <w:pStyle w:val="Kop2"/>
        <w:autoSpaceDE w:val="0"/>
        <w:autoSpaceDN w:val="0"/>
        <w:adjustRightInd w:val="0"/>
      </w:pPr>
      <w:bookmarkStart w:id="61" w:name="_Toc207732165"/>
      <w:r>
        <w:t>Bewaarplicht</w:t>
      </w:r>
      <w:bookmarkEnd w:id="61"/>
    </w:p>
    <w:p w14:paraId="7D216CD4" w14:textId="77777777" w:rsidR="00E65601" w:rsidRDefault="00E65601" w:rsidP="006B29AD">
      <w:pPr>
        <w:jc w:val="both"/>
      </w:pPr>
    </w:p>
    <w:p w14:paraId="01120C35" w14:textId="05ADF1C9" w:rsidR="003E359B" w:rsidRDefault="003E359B" w:rsidP="006B29AD">
      <w:pPr>
        <w:jc w:val="both"/>
      </w:pPr>
      <w:r>
        <w:t>R</w:t>
      </w:r>
      <w:r w:rsidRPr="003E359B">
        <w:t>apporterende aanbieder</w:t>
      </w:r>
      <w:r>
        <w:t>s</w:t>
      </w:r>
      <w:r w:rsidRPr="003E359B">
        <w:t xml:space="preserve"> van </w:t>
      </w:r>
      <w:proofErr w:type="spellStart"/>
      <w:r w:rsidRPr="003E359B">
        <w:t>cryptoactivadiensten</w:t>
      </w:r>
      <w:proofErr w:type="spellEnd"/>
      <w:r>
        <w:t xml:space="preserve"> zijn verplicht</w:t>
      </w:r>
      <w:r w:rsidRPr="003E359B">
        <w:t xml:space="preserve"> om </w:t>
      </w:r>
      <w:r>
        <w:t>hun</w:t>
      </w:r>
      <w:r w:rsidRPr="003E359B">
        <w:t xml:space="preserve"> administratie conform artikel 52, vierde lid, AWR, gedurende zeven jaar na afloop van de rapportageperiode te bewaren</w:t>
      </w:r>
      <w:r w:rsidRPr="006B29AD">
        <w:rPr>
          <w:rStyle w:val="Voetnootmarkering"/>
          <w:vertAlign w:val="superscript"/>
        </w:rPr>
        <w:footnoteReference w:id="17"/>
      </w:r>
      <w:r w:rsidRPr="003E359B">
        <w:t>. Deze termijn zorgt er enerzijds voor dat de Belastingdienst op een later moment nog een controle kan uitvoeren en waarborgt anderzijds dat de gegevens van te rapporteren gebruikers van cryptoactiva niet onnodig lang bij een rapporterende aanbieder van cryptoactivadiensten worden bewaard.</w:t>
      </w:r>
      <w:r>
        <w:t xml:space="preserve"> </w:t>
      </w:r>
      <w:r w:rsidRPr="003E359B">
        <w:t>Deze bewaarplicht is ook van toepassing in gevallen waarin de rapporterende aanbieder van cryptoactivadiensten wordt geliquideerd of anderszins zijn bedrijf beëindigt.</w:t>
      </w:r>
    </w:p>
    <w:p w14:paraId="395754C3" w14:textId="6EB34128" w:rsidR="00F041E2" w:rsidRPr="004B502F" w:rsidRDefault="001C0397" w:rsidP="00C11974">
      <w:pPr>
        <w:pStyle w:val="Kop2"/>
        <w:rPr>
          <w:szCs w:val="18"/>
        </w:rPr>
      </w:pPr>
      <w:bookmarkStart w:id="62" w:name="_Toc207732166"/>
      <w:bookmarkStart w:id="63" w:name="_Toc449610393"/>
      <w:r>
        <w:t xml:space="preserve">Te rapporteren </w:t>
      </w:r>
      <w:r w:rsidR="00AD6CF2">
        <w:t xml:space="preserve">ultimo </w:t>
      </w:r>
      <w:r>
        <w:t xml:space="preserve">waardes </w:t>
      </w:r>
      <w:r w:rsidR="00AD6CF2">
        <w:t>(2026)</w:t>
      </w:r>
      <w:bookmarkEnd w:id="62"/>
      <w:r w:rsidR="004B502F">
        <w:t xml:space="preserve"> </w:t>
      </w:r>
      <w:bookmarkEnd w:id="63"/>
    </w:p>
    <w:p w14:paraId="665B80CC" w14:textId="77777777" w:rsidR="004B502F" w:rsidRDefault="004B502F" w:rsidP="00B66A66">
      <w:pPr>
        <w:pStyle w:val="Default"/>
        <w:rPr>
          <w:rFonts w:ascii="Verdana" w:hAnsi="Verdana"/>
          <w:sz w:val="18"/>
          <w:szCs w:val="18"/>
        </w:rPr>
      </w:pPr>
    </w:p>
    <w:p w14:paraId="4E515E70" w14:textId="36AC65E5" w:rsidR="00D60441" w:rsidRDefault="00D60441" w:rsidP="003E359B">
      <w:pPr>
        <w:jc w:val="both"/>
        <w:rPr>
          <w:rFonts w:cs="ArialUnicodeMS_PDF_Subset"/>
          <w:szCs w:val="18"/>
        </w:rPr>
      </w:pPr>
      <w:r>
        <w:rPr>
          <w:rFonts w:cs="ArialUnicodeMS_PDF_Subset"/>
          <w:szCs w:val="18"/>
        </w:rPr>
        <w:t>DAC 8</w:t>
      </w:r>
      <w:r w:rsidR="0031178B">
        <w:rPr>
          <w:rFonts w:cs="ArialUnicodeMS_PDF_Subset"/>
          <w:szCs w:val="18"/>
        </w:rPr>
        <w:t>/</w:t>
      </w:r>
      <w:r>
        <w:rPr>
          <w:rFonts w:cs="ArialUnicodeMS_PDF_Subset"/>
          <w:szCs w:val="18"/>
        </w:rPr>
        <w:t>CARF betreft allereerst de uitwisseling van transactie</w:t>
      </w:r>
      <w:r w:rsidR="000A5C93">
        <w:rPr>
          <w:rFonts w:cs="ArialUnicodeMS_PDF_Subset"/>
          <w:szCs w:val="18"/>
        </w:rPr>
        <w:t xml:space="preserve"> </w:t>
      </w:r>
      <w:r>
        <w:rPr>
          <w:rFonts w:cs="ArialUnicodeMS_PDF_Subset"/>
          <w:szCs w:val="18"/>
        </w:rPr>
        <w:t>informatie (met name de crypto</w:t>
      </w:r>
      <w:r w:rsidR="008538DF">
        <w:rPr>
          <w:rFonts w:cs="ArialUnicodeMS_PDF_Subset"/>
          <w:szCs w:val="18"/>
        </w:rPr>
        <w:t>-</w:t>
      </w:r>
      <w:r>
        <w:rPr>
          <w:rFonts w:cs="ArialUnicodeMS_PDF_Subset"/>
          <w:szCs w:val="18"/>
        </w:rPr>
        <w:t>omwisseltransacties en crypto</w:t>
      </w:r>
      <w:r w:rsidR="008538DF">
        <w:rPr>
          <w:rFonts w:cs="ArialUnicodeMS_PDF_Subset"/>
          <w:szCs w:val="18"/>
        </w:rPr>
        <w:t>-</w:t>
      </w:r>
      <w:r>
        <w:rPr>
          <w:rFonts w:cs="ArialUnicodeMS_PDF_Subset"/>
          <w:szCs w:val="18"/>
        </w:rPr>
        <w:t xml:space="preserve">overboekingen zoals in </w:t>
      </w:r>
      <w:r w:rsidR="0031178B">
        <w:rPr>
          <w:rFonts w:cs="ArialUnicodeMS_PDF_Subset"/>
          <w:szCs w:val="18"/>
        </w:rPr>
        <w:t xml:space="preserve">voorgaande </w:t>
      </w:r>
      <w:r>
        <w:rPr>
          <w:rFonts w:cs="ArialUnicodeMS_PDF_Subset"/>
          <w:szCs w:val="18"/>
        </w:rPr>
        <w:t>paragra</w:t>
      </w:r>
      <w:r w:rsidR="00256E9B">
        <w:rPr>
          <w:rFonts w:cs="ArialUnicodeMS_PDF_Subset"/>
          <w:szCs w:val="18"/>
        </w:rPr>
        <w:t>f</w:t>
      </w:r>
      <w:r w:rsidR="003E359B">
        <w:rPr>
          <w:rFonts w:cs="ArialUnicodeMS_PDF_Subset"/>
          <w:szCs w:val="18"/>
        </w:rPr>
        <w:t>en</w:t>
      </w:r>
      <w:r>
        <w:rPr>
          <w:rFonts w:cs="ArialUnicodeMS_PDF_Subset"/>
          <w:szCs w:val="18"/>
        </w:rPr>
        <w:t xml:space="preserve"> is beschreven</w:t>
      </w:r>
      <w:r w:rsidR="00256E9B">
        <w:rPr>
          <w:rFonts w:cs="ArialUnicodeMS_PDF_Subset"/>
          <w:szCs w:val="18"/>
        </w:rPr>
        <w:t>)</w:t>
      </w:r>
      <w:r>
        <w:rPr>
          <w:rFonts w:cs="ArialUnicodeMS_PDF_Subset"/>
          <w:szCs w:val="18"/>
        </w:rPr>
        <w:t xml:space="preserve">. </w:t>
      </w:r>
    </w:p>
    <w:p w14:paraId="4088ED63" w14:textId="77777777" w:rsidR="00EE41C3" w:rsidRDefault="00EE41C3" w:rsidP="003E359B">
      <w:pPr>
        <w:jc w:val="both"/>
        <w:rPr>
          <w:rFonts w:cs="ArialUnicodeMS_PDF_Subset"/>
          <w:szCs w:val="18"/>
        </w:rPr>
      </w:pPr>
    </w:p>
    <w:p w14:paraId="383E1B22" w14:textId="11149A7F" w:rsidR="0031178B" w:rsidRDefault="00AD6CF2" w:rsidP="003E359B">
      <w:pPr>
        <w:jc w:val="both"/>
        <w:rPr>
          <w:rFonts w:cs="ArialUnicodeMS_PDF_Subset"/>
          <w:szCs w:val="18"/>
        </w:rPr>
      </w:pPr>
      <w:r>
        <w:rPr>
          <w:rFonts w:cs="ArialUnicodeMS_PDF_Subset"/>
          <w:szCs w:val="18"/>
        </w:rPr>
        <w:t xml:space="preserve">DAC 8 </w:t>
      </w:r>
      <w:r w:rsidR="003E359B">
        <w:rPr>
          <w:rFonts w:cs="ArialUnicodeMS_PDF_Subset"/>
          <w:szCs w:val="18"/>
        </w:rPr>
        <w:t xml:space="preserve">bevat echter </w:t>
      </w:r>
      <w:r>
        <w:rPr>
          <w:rFonts w:cs="ArialUnicodeMS_PDF_Subset"/>
          <w:szCs w:val="18"/>
        </w:rPr>
        <w:t>ook een aanpa</w:t>
      </w:r>
      <w:r w:rsidR="000A5C93">
        <w:rPr>
          <w:rFonts w:cs="ArialUnicodeMS_PDF_Subset"/>
          <w:szCs w:val="18"/>
        </w:rPr>
        <w:t>s</w:t>
      </w:r>
      <w:r>
        <w:rPr>
          <w:rFonts w:cs="ArialUnicodeMS_PDF_Subset"/>
          <w:szCs w:val="18"/>
        </w:rPr>
        <w:t>sing van CRS</w:t>
      </w:r>
      <w:r w:rsidR="0093062D">
        <w:rPr>
          <w:rFonts w:cs="ArialUnicodeMS_PDF_Subset"/>
          <w:szCs w:val="18"/>
        </w:rPr>
        <w:t>/DAC2 waarbij</w:t>
      </w:r>
      <w:r>
        <w:rPr>
          <w:rFonts w:cs="ArialUnicodeMS_PDF_Subset"/>
          <w:szCs w:val="18"/>
        </w:rPr>
        <w:t xml:space="preserve">, </w:t>
      </w:r>
      <w:r w:rsidR="00C73085" w:rsidRPr="00C73085">
        <w:rPr>
          <w:rFonts w:cs="ArialUnicodeMS_PDF_Subset"/>
          <w:szCs w:val="18"/>
        </w:rPr>
        <w:t>indirecte investe</w:t>
      </w:r>
      <w:r w:rsidR="00C73085">
        <w:rPr>
          <w:rFonts w:cs="ArialUnicodeMS_PDF_Subset"/>
          <w:szCs w:val="18"/>
        </w:rPr>
        <w:t>r</w:t>
      </w:r>
      <w:r w:rsidR="00C73085" w:rsidRPr="00C73085">
        <w:rPr>
          <w:rFonts w:cs="ArialUnicodeMS_PDF_Subset"/>
          <w:szCs w:val="18"/>
        </w:rPr>
        <w:t>ingen in</w:t>
      </w:r>
      <w:r w:rsidR="00C73085">
        <w:rPr>
          <w:rFonts w:cs="ArialUnicodeMS_PDF_Subset"/>
          <w:szCs w:val="18"/>
        </w:rPr>
        <w:t xml:space="preserve"> </w:t>
      </w:r>
      <w:r w:rsidR="001823A1">
        <w:rPr>
          <w:rFonts w:cs="ArialUnicodeMS_PDF_Subset"/>
          <w:szCs w:val="18"/>
        </w:rPr>
        <w:t xml:space="preserve">relevante </w:t>
      </w:r>
      <w:r>
        <w:rPr>
          <w:rFonts w:cs="ArialUnicodeMS_PDF_Subset"/>
          <w:szCs w:val="18"/>
        </w:rPr>
        <w:t>c</w:t>
      </w:r>
      <w:r w:rsidR="001C0397">
        <w:rPr>
          <w:rFonts w:cs="ArialUnicodeMS_PDF_Subset"/>
          <w:szCs w:val="18"/>
        </w:rPr>
        <w:t xml:space="preserve">ryptoactiva </w:t>
      </w:r>
      <w:r w:rsidR="00C73085">
        <w:rPr>
          <w:rFonts w:cs="ArialUnicodeMS_PDF_Subset"/>
          <w:szCs w:val="18"/>
        </w:rPr>
        <w:t xml:space="preserve">en </w:t>
      </w:r>
      <w:r w:rsidR="00C73085" w:rsidRPr="00C73085">
        <w:rPr>
          <w:rFonts w:cs="ArialUnicodeMS_PDF_Subset"/>
          <w:szCs w:val="18"/>
        </w:rPr>
        <w:t>cryptoderivaten </w:t>
      </w:r>
      <w:r w:rsidR="001C0397">
        <w:rPr>
          <w:rFonts w:cs="ArialUnicodeMS_PDF_Subset"/>
          <w:szCs w:val="18"/>
        </w:rPr>
        <w:t xml:space="preserve">zijn toegevoegd aan de categorie </w:t>
      </w:r>
      <w:r>
        <w:rPr>
          <w:rFonts w:cs="ArialUnicodeMS_PDF_Subset"/>
          <w:szCs w:val="18"/>
        </w:rPr>
        <w:t>“</w:t>
      </w:r>
      <w:r w:rsidR="001C0397">
        <w:rPr>
          <w:rFonts w:cs="ArialUnicodeMS_PDF_Subset"/>
          <w:szCs w:val="18"/>
        </w:rPr>
        <w:t>financiële producten</w:t>
      </w:r>
      <w:r>
        <w:rPr>
          <w:rFonts w:cs="ArialUnicodeMS_PDF_Subset"/>
          <w:szCs w:val="18"/>
        </w:rPr>
        <w:t>”</w:t>
      </w:r>
      <w:r w:rsidR="001C0397">
        <w:rPr>
          <w:rFonts w:cs="ArialUnicodeMS_PDF_Subset"/>
          <w:szCs w:val="18"/>
        </w:rPr>
        <w:t xml:space="preserve"> waarover onder de CRS</w:t>
      </w:r>
      <w:r>
        <w:rPr>
          <w:rFonts w:cs="ArialUnicodeMS_PDF_Subset"/>
          <w:szCs w:val="18"/>
        </w:rPr>
        <w:t>/DAC2</w:t>
      </w:r>
      <w:r w:rsidR="001C0397">
        <w:rPr>
          <w:rFonts w:cs="ArialUnicodeMS_PDF_Subset"/>
          <w:szCs w:val="18"/>
        </w:rPr>
        <w:t xml:space="preserve"> gerap</w:t>
      </w:r>
      <w:r w:rsidR="000A5C93">
        <w:rPr>
          <w:rFonts w:cs="ArialUnicodeMS_PDF_Subset"/>
          <w:szCs w:val="18"/>
        </w:rPr>
        <w:t>p</w:t>
      </w:r>
      <w:r w:rsidR="001C0397">
        <w:rPr>
          <w:rFonts w:cs="ArialUnicodeMS_PDF_Subset"/>
          <w:szCs w:val="18"/>
        </w:rPr>
        <w:t xml:space="preserve">orteerd moet worden. </w:t>
      </w:r>
      <w:r w:rsidR="0093062D">
        <w:rPr>
          <w:rFonts w:cs="ArialUnicodeMS_PDF_Subset"/>
          <w:szCs w:val="18"/>
        </w:rPr>
        <w:t>Dit betekent dat voor het rapportagejaar 2026, afhankelijk van de aang</w:t>
      </w:r>
      <w:r w:rsidR="00EE41C3">
        <w:rPr>
          <w:rFonts w:cs="ArialUnicodeMS_PDF_Subset"/>
          <w:szCs w:val="18"/>
        </w:rPr>
        <w:t>e</w:t>
      </w:r>
      <w:r w:rsidR="0093062D">
        <w:rPr>
          <w:rFonts w:cs="ArialUnicodeMS_PDF_Subset"/>
          <w:szCs w:val="18"/>
        </w:rPr>
        <w:t>boden dienstverlening</w:t>
      </w:r>
      <w:r w:rsidR="00C73085">
        <w:rPr>
          <w:rFonts w:cs="ArialUnicodeMS_PDF_Subset"/>
          <w:szCs w:val="18"/>
        </w:rPr>
        <w:t xml:space="preserve"> </w:t>
      </w:r>
      <w:r w:rsidR="00C73085" w:rsidRPr="00C73085">
        <w:rPr>
          <w:rFonts w:cs="ArialUnicodeMS_PDF_Subset"/>
          <w:szCs w:val="18"/>
        </w:rPr>
        <w:t>en producten</w:t>
      </w:r>
      <w:r w:rsidR="0093062D">
        <w:rPr>
          <w:rFonts w:cs="ArialUnicodeMS_PDF_Subset"/>
          <w:szCs w:val="18"/>
        </w:rPr>
        <w:t>, ook de saldi per 31/12/2026 moeten worden aangeleverd.</w:t>
      </w:r>
    </w:p>
    <w:p w14:paraId="500C9B82" w14:textId="345790CA" w:rsidR="0031178B" w:rsidRDefault="0093062D" w:rsidP="00192D2E">
      <w:pPr>
        <w:pStyle w:val="Lijstalinea"/>
        <w:numPr>
          <w:ilvl w:val="0"/>
          <w:numId w:val="8"/>
        </w:numPr>
        <w:rPr>
          <w:rFonts w:cs="ArialUnicodeMS_PDF_Subset"/>
          <w:szCs w:val="18"/>
        </w:rPr>
      </w:pPr>
      <w:r>
        <w:rPr>
          <w:rFonts w:cs="ArialUnicodeMS_PDF_Subset"/>
          <w:szCs w:val="18"/>
        </w:rPr>
        <w:t xml:space="preserve">Zuivere </w:t>
      </w:r>
      <w:r w:rsidR="00D60441" w:rsidRPr="0031178B">
        <w:rPr>
          <w:rFonts w:cs="ArialUnicodeMS_PDF_Subset"/>
          <w:szCs w:val="18"/>
        </w:rPr>
        <w:t>Crypto</w:t>
      </w:r>
      <w:r w:rsidR="0031178B" w:rsidRPr="0031178B">
        <w:rPr>
          <w:rFonts w:cs="ArialUnicodeMS_PDF_Subset"/>
          <w:szCs w:val="18"/>
        </w:rPr>
        <w:t>-</w:t>
      </w:r>
      <w:r w:rsidR="00D60441" w:rsidRPr="0031178B">
        <w:rPr>
          <w:rFonts w:cs="ArialUnicodeMS_PDF_Subset"/>
          <w:szCs w:val="18"/>
        </w:rPr>
        <w:t>exchanges beschikken niet over saldi gegevens</w:t>
      </w:r>
      <w:r w:rsidR="0031178B" w:rsidRPr="0031178B">
        <w:rPr>
          <w:rFonts w:cs="ArialUnicodeMS_PDF_Subset"/>
          <w:szCs w:val="18"/>
        </w:rPr>
        <w:t>, en kunnen derhalve de</w:t>
      </w:r>
      <w:r w:rsidR="0031178B">
        <w:rPr>
          <w:rFonts w:cs="ArialUnicodeMS_PDF_Subset"/>
          <w:szCs w:val="18"/>
        </w:rPr>
        <w:t>ze</w:t>
      </w:r>
      <w:r w:rsidR="0031178B" w:rsidRPr="0031178B">
        <w:rPr>
          <w:rFonts w:cs="ArialUnicodeMS_PDF_Subset"/>
          <w:szCs w:val="18"/>
        </w:rPr>
        <w:t xml:space="preserve"> </w:t>
      </w:r>
      <w:r w:rsidR="0031178B">
        <w:rPr>
          <w:rFonts w:cs="ArialUnicodeMS_PDF_Subset"/>
          <w:szCs w:val="18"/>
        </w:rPr>
        <w:t xml:space="preserve">gegevens </w:t>
      </w:r>
      <w:r w:rsidR="0031178B" w:rsidRPr="0031178B">
        <w:rPr>
          <w:rFonts w:cs="ArialUnicodeMS_PDF_Subset"/>
          <w:szCs w:val="18"/>
        </w:rPr>
        <w:t>niet rapporteren.</w:t>
      </w:r>
    </w:p>
    <w:p w14:paraId="6EDCFBC1" w14:textId="65A25CC7" w:rsidR="0031178B" w:rsidRDefault="0031178B" w:rsidP="00192D2E">
      <w:pPr>
        <w:pStyle w:val="Lijstalinea"/>
        <w:numPr>
          <w:ilvl w:val="0"/>
          <w:numId w:val="8"/>
        </w:numPr>
        <w:rPr>
          <w:rFonts w:cs="ArialUnicodeMS_PDF_Subset"/>
          <w:szCs w:val="18"/>
        </w:rPr>
      </w:pPr>
      <w:r>
        <w:rPr>
          <w:rFonts w:cs="ArialUnicodeMS_PDF_Subset"/>
          <w:szCs w:val="18"/>
        </w:rPr>
        <w:t>Cryptobeleggingsfond</w:t>
      </w:r>
      <w:r w:rsidR="000A5C93">
        <w:rPr>
          <w:rFonts w:cs="ArialUnicodeMS_PDF_Subset"/>
          <w:szCs w:val="18"/>
        </w:rPr>
        <w:t>s</w:t>
      </w:r>
      <w:r>
        <w:rPr>
          <w:rFonts w:cs="ArialUnicodeMS_PDF_Subset"/>
          <w:szCs w:val="18"/>
        </w:rPr>
        <w:t>en waren al rapportage</w:t>
      </w:r>
      <w:r w:rsidR="000A5C93">
        <w:rPr>
          <w:rFonts w:cs="ArialUnicodeMS_PDF_Subset"/>
          <w:szCs w:val="18"/>
        </w:rPr>
        <w:t xml:space="preserve"> </w:t>
      </w:r>
      <w:r>
        <w:rPr>
          <w:rFonts w:cs="ArialUnicodeMS_PDF_Subset"/>
          <w:szCs w:val="18"/>
        </w:rPr>
        <w:t xml:space="preserve">plichtig onder de CRS. De rapportage van deze ultimo waardes wordt afgewikkeld via de HL Bank- en beleggingsproducten 2026. </w:t>
      </w:r>
    </w:p>
    <w:p w14:paraId="3344AAB7" w14:textId="77777777" w:rsidR="0031178B" w:rsidRDefault="0031178B" w:rsidP="0031178B">
      <w:pPr>
        <w:rPr>
          <w:rFonts w:cs="ArialUnicodeMS_PDF_Subset"/>
          <w:szCs w:val="18"/>
        </w:rPr>
      </w:pPr>
    </w:p>
    <w:p w14:paraId="1FCD516A" w14:textId="6CDD7631" w:rsidR="00D60441" w:rsidRPr="0031178B" w:rsidRDefault="0093062D" w:rsidP="003E359B">
      <w:pPr>
        <w:jc w:val="both"/>
        <w:rPr>
          <w:rFonts w:cs="ArialUnicodeMS_PDF_Subset"/>
          <w:szCs w:val="18"/>
        </w:rPr>
      </w:pPr>
      <w:r>
        <w:rPr>
          <w:rFonts w:cs="ArialUnicodeMS_PDF_Subset"/>
          <w:szCs w:val="18"/>
        </w:rPr>
        <w:t>De aanpassingen van CRS/DAC2 zien op</w:t>
      </w:r>
      <w:r w:rsidR="0031178B">
        <w:rPr>
          <w:rFonts w:cs="ArialUnicodeMS_PDF_Subset"/>
          <w:szCs w:val="18"/>
        </w:rPr>
        <w:t xml:space="preserve"> te rapporteren informatie </w:t>
      </w:r>
      <w:r w:rsidR="000A5C93">
        <w:rPr>
          <w:rFonts w:cs="ArialUnicodeMS_PDF_Subset"/>
          <w:szCs w:val="18"/>
        </w:rPr>
        <w:t xml:space="preserve">over </w:t>
      </w:r>
      <w:r w:rsidR="00FF05B7">
        <w:rPr>
          <w:rFonts w:cs="ArialUnicodeMS_PDF_Subset"/>
          <w:szCs w:val="18"/>
        </w:rPr>
        <w:t>“</w:t>
      </w:r>
      <w:r w:rsidR="0031178B">
        <w:rPr>
          <w:rFonts w:cs="ArialUnicodeMS_PDF_Subset"/>
          <w:szCs w:val="18"/>
        </w:rPr>
        <w:t>g</w:t>
      </w:r>
      <w:r w:rsidR="00FF05B7">
        <w:rPr>
          <w:rFonts w:cs="ArialUnicodeMS_PDF_Subset"/>
          <w:szCs w:val="18"/>
        </w:rPr>
        <w:t xml:space="preserve">rensoverschrijdende informatie”. Dat wil zeggen dat de gebruiker van de </w:t>
      </w:r>
      <w:r w:rsidR="00F94E3F">
        <w:rPr>
          <w:rFonts w:cs="ArialUnicodeMS_PDF_Subset"/>
          <w:szCs w:val="18"/>
        </w:rPr>
        <w:t xml:space="preserve">bijbehorende </w:t>
      </w:r>
      <w:proofErr w:type="spellStart"/>
      <w:r w:rsidR="00FF05B7">
        <w:rPr>
          <w:rFonts w:cs="ArialUnicodeMS_PDF_Subset"/>
          <w:szCs w:val="18"/>
        </w:rPr>
        <w:t>cryptoactivadienst</w:t>
      </w:r>
      <w:proofErr w:type="spellEnd"/>
      <w:r w:rsidR="00FF05B7">
        <w:rPr>
          <w:rFonts w:cs="ArialUnicodeMS_PDF_Subset"/>
          <w:szCs w:val="18"/>
        </w:rPr>
        <w:t xml:space="preserve"> als niet ingezetene wordt aangemerkt. </w:t>
      </w:r>
      <w:r>
        <w:rPr>
          <w:rFonts w:cs="ArialUnicodeMS_PDF_Subset"/>
          <w:szCs w:val="18"/>
        </w:rPr>
        <w:t>Echter, o</w:t>
      </w:r>
      <w:r w:rsidR="00FF05B7">
        <w:rPr>
          <w:rFonts w:cs="ArialUnicodeMS_PDF_Subset"/>
          <w:szCs w:val="18"/>
        </w:rPr>
        <w:t>ok de rapportage van puur “binnenlandse informatie”</w:t>
      </w:r>
      <w:r w:rsidR="00F94E3F">
        <w:rPr>
          <w:rFonts w:cs="ArialUnicodeMS_PDF_Subset"/>
          <w:szCs w:val="18"/>
        </w:rPr>
        <w:t>,</w:t>
      </w:r>
      <w:r w:rsidR="00FF05B7">
        <w:rPr>
          <w:rFonts w:cs="ArialUnicodeMS_PDF_Subset"/>
          <w:szCs w:val="18"/>
        </w:rPr>
        <w:t xml:space="preserve"> d.w.z. dat de gebruiker van de </w:t>
      </w:r>
      <w:proofErr w:type="spellStart"/>
      <w:r w:rsidR="00FF05B7">
        <w:rPr>
          <w:rFonts w:cs="ArialUnicodeMS_PDF_Subset"/>
          <w:szCs w:val="18"/>
        </w:rPr>
        <w:t>cryptoactivadienst</w:t>
      </w:r>
      <w:proofErr w:type="spellEnd"/>
      <w:r w:rsidR="00FF05B7">
        <w:rPr>
          <w:rFonts w:cs="ArialUnicodeMS_PDF_Subset"/>
          <w:szCs w:val="18"/>
        </w:rPr>
        <w:t xml:space="preserve"> als ingezetene wordt aangemerkt, </w:t>
      </w:r>
      <w:r w:rsidR="00D61773">
        <w:rPr>
          <w:rFonts w:cs="ArialUnicodeMS_PDF_Subset"/>
          <w:szCs w:val="18"/>
        </w:rPr>
        <w:t xml:space="preserve">valt </w:t>
      </w:r>
      <w:r w:rsidR="00FF05B7">
        <w:rPr>
          <w:rFonts w:cs="ArialUnicodeMS_PDF_Subset"/>
          <w:szCs w:val="18"/>
        </w:rPr>
        <w:t xml:space="preserve">onder de rapportageplicht. </w:t>
      </w:r>
    </w:p>
    <w:p w14:paraId="21EFD216" w14:textId="77777777" w:rsidR="00C11974" w:rsidRDefault="00C11974" w:rsidP="00B66A66">
      <w:pPr>
        <w:pStyle w:val="Default"/>
        <w:rPr>
          <w:rFonts w:ascii="Verdana" w:hAnsi="Verdana"/>
          <w:sz w:val="18"/>
          <w:szCs w:val="18"/>
        </w:rPr>
      </w:pPr>
    </w:p>
    <w:p w14:paraId="3C4647F6" w14:textId="77777777" w:rsidR="00E65601" w:rsidRDefault="00E65601" w:rsidP="00B66A66">
      <w:pPr>
        <w:pStyle w:val="Default"/>
        <w:rPr>
          <w:rFonts w:ascii="Verdana" w:hAnsi="Verdana"/>
          <w:sz w:val="18"/>
          <w:szCs w:val="18"/>
        </w:rPr>
      </w:pPr>
    </w:p>
    <w:p w14:paraId="799184F4" w14:textId="77777777" w:rsidR="00E65601" w:rsidRDefault="00E65601" w:rsidP="00B66A66">
      <w:pPr>
        <w:pStyle w:val="Default"/>
        <w:rPr>
          <w:rFonts w:ascii="Verdana" w:hAnsi="Verdana"/>
          <w:sz w:val="18"/>
          <w:szCs w:val="18"/>
        </w:rPr>
      </w:pPr>
    </w:p>
    <w:p w14:paraId="3C5B27FD" w14:textId="77777777" w:rsidR="00E65601" w:rsidRDefault="00E65601" w:rsidP="00B66A66">
      <w:pPr>
        <w:pStyle w:val="Default"/>
        <w:rPr>
          <w:rFonts w:ascii="Verdana" w:hAnsi="Verdana"/>
          <w:sz w:val="18"/>
          <w:szCs w:val="18"/>
        </w:rPr>
      </w:pPr>
    </w:p>
    <w:p w14:paraId="365FB1EC" w14:textId="77777777" w:rsidR="00E65601" w:rsidRDefault="00E65601" w:rsidP="00B66A66">
      <w:pPr>
        <w:pStyle w:val="Default"/>
        <w:rPr>
          <w:rFonts w:ascii="Verdana" w:hAnsi="Verdana"/>
          <w:sz w:val="18"/>
          <w:szCs w:val="18"/>
        </w:rPr>
      </w:pPr>
    </w:p>
    <w:p w14:paraId="276760F5" w14:textId="77777777" w:rsidR="00E65601" w:rsidRDefault="00E65601" w:rsidP="00B66A66">
      <w:pPr>
        <w:pStyle w:val="Default"/>
        <w:rPr>
          <w:rFonts w:ascii="Verdana" w:hAnsi="Verdana"/>
          <w:sz w:val="18"/>
          <w:szCs w:val="18"/>
        </w:rPr>
      </w:pPr>
    </w:p>
    <w:p w14:paraId="06532FF5" w14:textId="77777777" w:rsidR="00E65601" w:rsidRDefault="00E65601" w:rsidP="00B66A66">
      <w:pPr>
        <w:pStyle w:val="Default"/>
        <w:rPr>
          <w:rFonts w:ascii="Verdana" w:hAnsi="Verdana"/>
          <w:sz w:val="18"/>
          <w:szCs w:val="18"/>
        </w:rPr>
      </w:pPr>
    </w:p>
    <w:p w14:paraId="6AE89BE1" w14:textId="77777777" w:rsidR="00E65601" w:rsidRDefault="00E65601" w:rsidP="00B66A66">
      <w:pPr>
        <w:pStyle w:val="Default"/>
        <w:rPr>
          <w:rFonts w:ascii="Verdana" w:hAnsi="Verdana"/>
          <w:sz w:val="18"/>
          <w:szCs w:val="18"/>
        </w:rPr>
      </w:pPr>
    </w:p>
    <w:p w14:paraId="55801814" w14:textId="77777777" w:rsidR="00E65601" w:rsidRDefault="00E65601" w:rsidP="00B66A66">
      <w:pPr>
        <w:pStyle w:val="Default"/>
        <w:rPr>
          <w:rFonts w:ascii="Verdana" w:hAnsi="Verdana"/>
          <w:sz w:val="18"/>
          <w:szCs w:val="18"/>
        </w:rPr>
      </w:pPr>
    </w:p>
    <w:p w14:paraId="04795B85" w14:textId="77777777" w:rsidR="00E65601" w:rsidRDefault="00E65601" w:rsidP="00B66A66">
      <w:pPr>
        <w:pStyle w:val="Default"/>
        <w:rPr>
          <w:rFonts w:ascii="Verdana" w:hAnsi="Verdana"/>
          <w:sz w:val="18"/>
          <w:szCs w:val="18"/>
        </w:rPr>
      </w:pPr>
    </w:p>
    <w:p w14:paraId="30E1F4FC" w14:textId="3FF6DB1B" w:rsidR="00B66A66" w:rsidRDefault="00B36DB8" w:rsidP="00E65601">
      <w:pPr>
        <w:pStyle w:val="Kop2"/>
        <w:widowControl/>
      </w:pPr>
      <w:bookmarkStart w:id="64" w:name="_Toc207732167"/>
      <w:bookmarkStart w:id="65" w:name="_Toc449610394"/>
      <w:bookmarkStart w:id="66" w:name="_Toc529440408"/>
      <w:r>
        <w:lastRenderedPageBreak/>
        <w:t>Cent</w:t>
      </w:r>
      <w:r w:rsidR="003C29E6">
        <w:t>r</w:t>
      </w:r>
      <w:r>
        <w:t>a</w:t>
      </w:r>
      <w:r w:rsidR="000A60C3">
        <w:t>a</w:t>
      </w:r>
      <w:r>
        <w:t xml:space="preserve">l EU </w:t>
      </w:r>
      <w:r w:rsidR="000A60C3">
        <w:t xml:space="preserve">Directory/Centraal </w:t>
      </w:r>
      <w:r>
        <w:t>register</w:t>
      </w:r>
      <w:bookmarkEnd w:id="64"/>
      <w:r>
        <w:t xml:space="preserve"> </w:t>
      </w:r>
      <w:bookmarkEnd w:id="65"/>
      <w:bookmarkEnd w:id="66"/>
    </w:p>
    <w:p w14:paraId="3E90D9D5" w14:textId="77777777" w:rsidR="00B36DB8" w:rsidRPr="00B36DB8" w:rsidRDefault="00B36DB8" w:rsidP="00B36DB8"/>
    <w:p w14:paraId="5C699AD4" w14:textId="38957AE8" w:rsidR="000A60C3" w:rsidRDefault="000A60C3" w:rsidP="00563A73">
      <w:pPr>
        <w:pStyle w:val="Default"/>
        <w:keepNext/>
        <w:rPr>
          <w:rFonts w:ascii="Verdana" w:hAnsi="Verdana"/>
          <w:sz w:val="18"/>
          <w:szCs w:val="18"/>
        </w:rPr>
      </w:pPr>
      <w:r>
        <w:rPr>
          <w:rFonts w:ascii="Verdana" w:hAnsi="Verdana"/>
          <w:sz w:val="18"/>
          <w:szCs w:val="18"/>
        </w:rPr>
        <w:t xml:space="preserve">Er worden door de EU twee voorzieningen gerealiseerd. </w:t>
      </w:r>
    </w:p>
    <w:p w14:paraId="5A075507" w14:textId="368719FC" w:rsidR="000A60C3" w:rsidRDefault="000A60C3" w:rsidP="00192D2E">
      <w:pPr>
        <w:pStyle w:val="Default"/>
        <w:keepNext/>
        <w:numPr>
          <w:ilvl w:val="0"/>
          <w:numId w:val="16"/>
        </w:numPr>
        <w:rPr>
          <w:rFonts w:ascii="Verdana" w:hAnsi="Verdana"/>
          <w:sz w:val="18"/>
          <w:szCs w:val="18"/>
        </w:rPr>
      </w:pPr>
      <w:r>
        <w:rPr>
          <w:rFonts w:ascii="Verdana" w:hAnsi="Verdana"/>
          <w:sz w:val="18"/>
          <w:szCs w:val="18"/>
        </w:rPr>
        <w:t xml:space="preserve">Centraal Register: Daarin worden de registratiegegevens vastgelegd en gedeeld met andere lidstaten. </w:t>
      </w:r>
      <w:r w:rsidR="000129AC">
        <w:rPr>
          <w:rFonts w:ascii="Verdana" w:hAnsi="Verdana"/>
          <w:sz w:val="18"/>
          <w:szCs w:val="18"/>
        </w:rPr>
        <w:t xml:space="preserve">Zie hiervoor het </w:t>
      </w:r>
      <w:r w:rsidR="00951143">
        <w:rPr>
          <w:rFonts w:ascii="Verdana" w:hAnsi="Verdana"/>
          <w:sz w:val="18"/>
          <w:szCs w:val="18"/>
        </w:rPr>
        <w:t>“</w:t>
      </w:r>
      <w:r w:rsidR="000129AC">
        <w:rPr>
          <w:rFonts w:ascii="Verdana" w:hAnsi="Verdana"/>
          <w:sz w:val="18"/>
          <w:szCs w:val="18"/>
        </w:rPr>
        <w:t>register van exploitanten</w:t>
      </w:r>
      <w:r w:rsidR="00951143">
        <w:rPr>
          <w:rFonts w:ascii="Verdana" w:hAnsi="Verdana"/>
          <w:sz w:val="18"/>
          <w:szCs w:val="18"/>
        </w:rPr>
        <w:t>”</w:t>
      </w:r>
      <w:r w:rsidR="000129AC">
        <w:rPr>
          <w:rFonts w:ascii="Verdana" w:hAnsi="Verdana"/>
          <w:sz w:val="18"/>
          <w:szCs w:val="18"/>
        </w:rPr>
        <w:t xml:space="preserve"> genoemd in paragraaf 4.2.</w:t>
      </w:r>
    </w:p>
    <w:p w14:paraId="3CBDF5CD" w14:textId="4D5F88EF" w:rsidR="000A60C3" w:rsidRDefault="000A60C3" w:rsidP="00192D2E">
      <w:pPr>
        <w:pStyle w:val="Default"/>
        <w:keepNext/>
        <w:numPr>
          <w:ilvl w:val="0"/>
          <w:numId w:val="16"/>
        </w:numPr>
        <w:rPr>
          <w:rFonts w:ascii="Verdana" w:hAnsi="Verdana"/>
          <w:sz w:val="18"/>
          <w:szCs w:val="18"/>
        </w:rPr>
      </w:pPr>
      <w:r>
        <w:rPr>
          <w:rFonts w:ascii="Verdana" w:hAnsi="Verdana"/>
          <w:sz w:val="18"/>
          <w:szCs w:val="18"/>
        </w:rPr>
        <w:t>Central Directory: Daarin worden de rapportage</w:t>
      </w:r>
      <w:r w:rsidR="00557BCF">
        <w:rPr>
          <w:rFonts w:ascii="Verdana" w:hAnsi="Verdana"/>
          <w:sz w:val="18"/>
          <w:szCs w:val="18"/>
        </w:rPr>
        <w:t xml:space="preserve"> ge</w:t>
      </w:r>
      <w:r>
        <w:rPr>
          <w:rFonts w:ascii="Verdana" w:hAnsi="Verdana"/>
          <w:sz w:val="18"/>
          <w:szCs w:val="18"/>
        </w:rPr>
        <w:t xml:space="preserve">gevens vastgelegd en gedeeld tussen de EU-lidstaten. </w:t>
      </w:r>
    </w:p>
    <w:p w14:paraId="3660082A" w14:textId="77777777" w:rsidR="00EE41C3" w:rsidRDefault="00EE41C3" w:rsidP="00563A73">
      <w:pPr>
        <w:pStyle w:val="Default"/>
        <w:keepNext/>
        <w:rPr>
          <w:rFonts w:ascii="Verdana" w:hAnsi="Verdana"/>
          <w:sz w:val="18"/>
          <w:szCs w:val="18"/>
        </w:rPr>
      </w:pPr>
    </w:p>
    <w:p w14:paraId="1BC2FE14" w14:textId="6269B1D0" w:rsidR="0093062D" w:rsidRDefault="0093062D" w:rsidP="0093062D">
      <w:pPr>
        <w:pStyle w:val="Default"/>
        <w:keepNext/>
        <w:rPr>
          <w:rFonts w:ascii="Verdana" w:hAnsi="Verdana"/>
          <w:sz w:val="18"/>
          <w:szCs w:val="18"/>
        </w:rPr>
      </w:pPr>
      <w:r>
        <w:rPr>
          <w:rFonts w:ascii="Verdana" w:hAnsi="Verdana"/>
          <w:sz w:val="18"/>
          <w:szCs w:val="18"/>
        </w:rPr>
        <w:t>D</w:t>
      </w:r>
      <w:r w:rsidR="00EE41C3">
        <w:rPr>
          <w:rFonts w:ascii="Verdana" w:hAnsi="Verdana"/>
          <w:sz w:val="18"/>
          <w:szCs w:val="18"/>
        </w:rPr>
        <w:t>e</w:t>
      </w:r>
      <w:r>
        <w:rPr>
          <w:rFonts w:ascii="Verdana" w:hAnsi="Verdana"/>
          <w:sz w:val="18"/>
          <w:szCs w:val="18"/>
        </w:rPr>
        <w:t xml:space="preserve"> </w:t>
      </w:r>
      <w:r w:rsidR="00B36DB8">
        <w:rPr>
          <w:rFonts w:ascii="Verdana" w:hAnsi="Verdana"/>
          <w:sz w:val="18"/>
          <w:szCs w:val="18"/>
        </w:rPr>
        <w:t xml:space="preserve"> gegevens en inlichtingen </w:t>
      </w:r>
      <w:r>
        <w:rPr>
          <w:rFonts w:ascii="Verdana" w:hAnsi="Verdana"/>
          <w:sz w:val="18"/>
          <w:szCs w:val="18"/>
        </w:rPr>
        <w:t xml:space="preserve">die </w:t>
      </w:r>
      <w:r w:rsidR="00B36DB8">
        <w:rPr>
          <w:rFonts w:ascii="Verdana" w:hAnsi="Verdana"/>
          <w:sz w:val="18"/>
          <w:szCs w:val="18"/>
        </w:rPr>
        <w:t>door de rapporterende aanbieder van cryptoactivadiensten aan de Belastingdienst zijn verstrekt, zal de Belastingdienst ter uitvoering van Richtlijn 2023/2226</w:t>
      </w:r>
      <w:r w:rsidR="00EE41C3">
        <w:rPr>
          <w:rFonts w:ascii="Verdana" w:hAnsi="Verdana"/>
          <w:sz w:val="18"/>
          <w:szCs w:val="18"/>
        </w:rPr>
        <w:t>/EU</w:t>
      </w:r>
      <w:r w:rsidR="00073E9A">
        <w:rPr>
          <w:rFonts w:ascii="Verdana" w:hAnsi="Verdana"/>
          <w:sz w:val="18"/>
          <w:szCs w:val="18"/>
        </w:rPr>
        <w:t xml:space="preserve">, uploaden in een centraal gegevensbestand </w:t>
      </w:r>
      <w:r>
        <w:rPr>
          <w:rFonts w:ascii="Verdana" w:hAnsi="Verdana"/>
          <w:sz w:val="18"/>
          <w:szCs w:val="18"/>
        </w:rPr>
        <w:t>van</w:t>
      </w:r>
      <w:r w:rsidR="00073E9A">
        <w:rPr>
          <w:rFonts w:ascii="Verdana" w:hAnsi="Verdana"/>
          <w:sz w:val="18"/>
          <w:szCs w:val="18"/>
        </w:rPr>
        <w:t xml:space="preserve"> de Europese Commissie </w:t>
      </w:r>
      <w:r>
        <w:rPr>
          <w:rFonts w:ascii="Verdana" w:hAnsi="Verdana"/>
          <w:sz w:val="18"/>
          <w:szCs w:val="18"/>
        </w:rPr>
        <w:t>(</w:t>
      </w:r>
      <w:r w:rsidR="009C109F">
        <w:rPr>
          <w:rFonts w:ascii="Verdana" w:hAnsi="Verdana"/>
          <w:sz w:val="18"/>
          <w:szCs w:val="18"/>
        </w:rPr>
        <w:t>Central Directory</w:t>
      </w:r>
      <w:r>
        <w:rPr>
          <w:rFonts w:ascii="Verdana" w:hAnsi="Verdana"/>
          <w:sz w:val="18"/>
          <w:szCs w:val="18"/>
        </w:rPr>
        <w:t>)</w:t>
      </w:r>
      <w:r w:rsidR="009C109F">
        <w:rPr>
          <w:rFonts w:ascii="Verdana" w:hAnsi="Verdana"/>
          <w:sz w:val="18"/>
          <w:szCs w:val="18"/>
        </w:rPr>
        <w:t xml:space="preserve">. </w:t>
      </w:r>
      <w:r w:rsidR="00073E9A">
        <w:rPr>
          <w:rFonts w:ascii="Verdana" w:hAnsi="Verdana"/>
          <w:sz w:val="18"/>
          <w:szCs w:val="18"/>
        </w:rPr>
        <w:t>EU-lidstaten</w:t>
      </w:r>
      <w:r>
        <w:rPr>
          <w:rFonts w:ascii="Verdana" w:hAnsi="Verdana"/>
          <w:sz w:val="18"/>
          <w:szCs w:val="18"/>
        </w:rPr>
        <w:t xml:space="preserve"> hebben</w:t>
      </w:r>
      <w:r w:rsidR="00073E9A">
        <w:rPr>
          <w:rFonts w:ascii="Verdana" w:hAnsi="Verdana"/>
          <w:sz w:val="18"/>
          <w:szCs w:val="18"/>
        </w:rPr>
        <w:t xml:space="preserve"> alleen toegang tot gegevens in dat centrale bestand voor zover</w:t>
      </w:r>
      <w:r w:rsidR="00557BCF">
        <w:rPr>
          <w:rFonts w:ascii="Verdana" w:hAnsi="Verdana"/>
          <w:sz w:val="18"/>
          <w:szCs w:val="18"/>
        </w:rPr>
        <w:t xml:space="preserve"> </w:t>
      </w:r>
      <w:r w:rsidR="00B625EA">
        <w:rPr>
          <w:rFonts w:ascii="Verdana" w:hAnsi="Verdana"/>
          <w:sz w:val="18"/>
          <w:szCs w:val="18"/>
        </w:rPr>
        <w:t>die zien</w:t>
      </w:r>
      <w:r w:rsidR="00073E9A">
        <w:rPr>
          <w:rFonts w:ascii="Verdana" w:hAnsi="Verdana"/>
          <w:sz w:val="18"/>
          <w:szCs w:val="18"/>
        </w:rPr>
        <w:t xml:space="preserve"> op hun eigen ingezetenen.</w:t>
      </w:r>
      <w:r w:rsidR="001823A1" w:rsidRPr="001823A1">
        <w:rPr>
          <w:rFonts w:ascii="Verdana" w:hAnsi="Verdana"/>
          <w:sz w:val="18"/>
          <w:szCs w:val="18"/>
        </w:rPr>
        <w:t xml:space="preserve"> </w:t>
      </w:r>
      <w:r>
        <w:rPr>
          <w:rFonts w:ascii="Verdana" w:hAnsi="Verdana"/>
          <w:sz w:val="18"/>
          <w:szCs w:val="18"/>
        </w:rPr>
        <w:t xml:space="preserve">Gegevens die in de EU centrale directory worden gezet zijn alleen toegankelijk voor de lidstaat waarvoor de gegevens bestemd zijn. Ook de EU heeft geen toegang tot de inhoud van de gegevens. </w:t>
      </w:r>
    </w:p>
    <w:p w14:paraId="5D037EE0" w14:textId="77777777" w:rsidR="0093062D" w:rsidRDefault="0093062D" w:rsidP="0093062D">
      <w:pPr>
        <w:pStyle w:val="Default"/>
        <w:keepNext/>
        <w:rPr>
          <w:rFonts w:ascii="Verdana" w:hAnsi="Verdana"/>
          <w:sz w:val="18"/>
          <w:szCs w:val="18"/>
        </w:rPr>
      </w:pPr>
    </w:p>
    <w:p w14:paraId="002D53A2" w14:textId="1AFCD286" w:rsidR="001823A1" w:rsidRDefault="001823A1" w:rsidP="0093062D">
      <w:pPr>
        <w:pStyle w:val="Default"/>
        <w:keepNext/>
        <w:jc w:val="both"/>
        <w:rPr>
          <w:rFonts w:ascii="Verdana" w:hAnsi="Verdana"/>
          <w:sz w:val="18"/>
          <w:szCs w:val="18"/>
        </w:rPr>
      </w:pPr>
      <w:r>
        <w:rPr>
          <w:rFonts w:ascii="Verdana" w:hAnsi="Verdana"/>
          <w:sz w:val="18"/>
          <w:szCs w:val="18"/>
        </w:rPr>
        <w:t xml:space="preserve">Gegevens die aan derde landen worden verstrekt, worden één op éen </w:t>
      </w:r>
      <w:r w:rsidR="0093062D">
        <w:rPr>
          <w:rFonts w:ascii="Verdana" w:hAnsi="Verdana"/>
          <w:sz w:val="18"/>
          <w:szCs w:val="18"/>
        </w:rPr>
        <w:t xml:space="preserve">met </w:t>
      </w:r>
      <w:r>
        <w:rPr>
          <w:rFonts w:ascii="Verdana" w:hAnsi="Verdana"/>
          <w:sz w:val="18"/>
          <w:szCs w:val="18"/>
        </w:rPr>
        <w:t xml:space="preserve">het desbetreffende land </w:t>
      </w:r>
      <w:r w:rsidR="0093062D">
        <w:rPr>
          <w:rFonts w:ascii="Verdana" w:hAnsi="Verdana"/>
          <w:sz w:val="18"/>
          <w:szCs w:val="18"/>
        </w:rPr>
        <w:t>uitgewisseld</w:t>
      </w:r>
      <w:r>
        <w:rPr>
          <w:rFonts w:ascii="Verdana" w:hAnsi="Verdana"/>
          <w:sz w:val="18"/>
          <w:szCs w:val="18"/>
        </w:rPr>
        <w:t xml:space="preserve">.  </w:t>
      </w:r>
    </w:p>
    <w:p w14:paraId="15A0325D" w14:textId="65EE145D" w:rsidR="00B36DB8" w:rsidRDefault="00B36DB8" w:rsidP="00563A73">
      <w:pPr>
        <w:pStyle w:val="Default"/>
        <w:keepNext/>
        <w:rPr>
          <w:rFonts w:ascii="Verdana" w:hAnsi="Verdana"/>
          <w:sz w:val="18"/>
          <w:szCs w:val="18"/>
        </w:rPr>
      </w:pPr>
    </w:p>
    <w:p w14:paraId="5741C74B" w14:textId="77777777" w:rsidR="002116CF" w:rsidRDefault="002116CF" w:rsidP="00563A73">
      <w:pPr>
        <w:pStyle w:val="Default"/>
        <w:keepNext/>
        <w:rPr>
          <w:rFonts w:ascii="Verdana" w:hAnsi="Verdana"/>
          <w:sz w:val="18"/>
          <w:szCs w:val="18"/>
        </w:rPr>
      </w:pPr>
    </w:p>
    <w:p w14:paraId="4D38E6EB" w14:textId="77777777" w:rsidR="00B66A66" w:rsidRPr="00386E3F" w:rsidRDefault="00B66A66" w:rsidP="00B66A66"/>
    <w:p w14:paraId="1AFF9C11" w14:textId="77777777" w:rsidR="00B66A66" w:rsidRPr="00386E3F" w:rsidRDefault="00B66A66" w:rsidP="00B66A66">
      <w:pPr>
        <w:tabs>
          <w:tab w:val="left" w:pos="2268"/>
          <w:tab w:val="left" w:pos="4536"/>
        </w:tabs>
      </w:pPr>
    </w:p>
    <w:p w14:paraId="5B12F1B8" w14:textId="63BE78FB" w:rsidR="002547F7" w:rsidRDefault="00B66A66" w:rsidP="00CD0C9A">
      <w:pPr>
        <w:pStyle w:val="Kop1"/>
      </w:pPr>
      <w:bookmarkStart w:id="67" w:name="_Toc207732168"/>
      <w:bookmarkStart w:id="68" w:name="_Toc449610397"/>
      <w:bookmarkStart w:id="69" w:name="_Ref526951361"/>
      <w:bookmarkStart w:id="70" w:name="_Toc444590543"/>
      <w:bookmarkStart w:id="71" w:name="_Toc333225174"/>
      <w:r w:rsidRPr="00386E3F">
        <w:lastRenderedPageBreak/>
        <w:t>Niet, niet tijdig, niet volledig of niet juist aanleveren</w:t>
      </w:r>
      <w:bookmarkEnd w:id="67"/>
      <w:r w:rsidRPr="00386E3F">
        <w:t xml:space="preserve"> </w:t>
      </w:r>
      <w:bookmarkEnd w:id="68"/>
      <w:bookmarkEnd w:id="69"/>
    </w:p>
    <w:p w14:paraId="730B7583" w14:textId="71C12840" w:rsidR="00ED0B74" w:rsidRDefault="00150D27" w:rsidP="00747FED">
      <w:pPr>
        <w:jc w:val="both"/>
      </w:pPr>
      <w:r>
        <w:t xml:space="preserve">Gegeven de achtergrond en doelstellingen van </w:t>
      </w:r>
      <w:r w:rsidR="00D803BC">
        <w:t>het</w:t>
      </w:r>
      <w:r>
        <w:t xml:space="preserve"> CARF en DAC8 is het van belang dat zoveel mogelijk landen deelnemen aan de automatische uitwisseling en dat erop wordt toegezien dat kwalificerende cryptodienstverleners voldoen aan de </w:t>
      </w:r>
      <w:proofErr w:type="spellStart"/>
      <w:r>
        <w:t>due</w:t>
      </w:r>
      <w:proofErr w:type="spellEnd"/>
      <w:r>
        <w:t xml:space="preserve"> diligence en rapportageverplichtingen. </w:t>
      </w:r>
    </w:p>
    <w:p w14:paraId="0EA5E736" w14:textId="77777777" w:rsidR="00150D27" w:rsidRDefault="00150D27" w:rsidP="00747FED">
      <w:pPr>
        <w:jc w:val="both"/>
      </w:pPr>
    </w:p>
    <w:p w14:paraId="4364AF91" w14:textId="0FC170C0" w:rsidR="00852CF8" w:rsidRDefault="00150D27" w:rsidP="00747FED">
      <w:pPr>
        <w:jc w:val="both"/>
      </w:pPr>
      <w:r>
        <w:t xml:space="preserve">Naast inspanningen om het aantal deelnemende landen te vergroten </w:t>
      </w:r>
      <w:r w:rsidR="00852CF8">
        <w:t xml:space="preserve">wordt van landen ook verwacht dat zij maatregelen nemen om de naleving van de </w:t>
      </w:r>
      <w:proofErr w:type="spellStart"/>
      <w:r w:rsidR="00852CF8">
        <w:t>due</w:t>
      </w:r>
      <w:proofErr w:type="spellEnd"/>
      <w:r w:rsidR="00852CF8">
        <w:t xml:space="preserve"> diligence en rapportageverplichtingen door rapporterende cryptodienstverleners</w:t>
      </w:r>
      <w:r w:rsidR="00824EB3">
        <w:t xml:space="preserve"> te bevorderen</w:t>
      </w:r>
      <w:r w:rsidR="00852CF8">
        <w:t xml:space="preserve">. Daarvoor is het noodzakelijk dat landen een sanctiesysteem inrichten dat voldoende afschrikkende werking heeft en toezicht uitoefenen. </w:t>
      </w:r>
    </w:p>
    <w:p w14:paraId="4BC0E84E" w14:textId="77777777" w:rsidR="00852CF8" w:rsidRDefault="00852CF8" w:rsidP="00747FED">
      <w:pPr>
        <w:jc w:val="both"/>
      </w:pPr>
    </w:p>
    <w:p w14:paraId="2E70DAA5" w14:textId="0A9EBC97" w:rsidR="00824EB3" w:rsidRDefault="00824EB3" w:rsidP="00747FED">
      <w:pPr>
        <w:jc w:val="both"/>
      </w:pPr>
      <w:r>
        <w:t xml:space="preserve">Het maximum van de zesde categorie is naar het oordeel van het kabinet voldoende afschrikkend. Voorts sluit dat </w:t>
      </w:r>
      <w:r w:rsidRPr="00436685">
        <w:t xml:space="preserve">maximum aan bij de </w:t>
      </w:r>
      <w:r>
        <w:t>reeds bestaande maxima die gelden voor verplichtingen die ingevolge Richtlijn 2011/16/EU zijn geïmplementeerd.</w:t>
      </w:r>
      <w:r w:rsidRPr="00436685">
        <w:t xml:space="preserve"> </w:t>
      </w:r>
      <w:r>
        <w:t>Dit maximum biedt ook alle ruimte om een evenredige boete op te leggen</w:t>
      </w:r>
      <w:r w:rsidRPr="00436685">
        <w:t xml:space="preserve">. Wat een </w:t>
      </w:r>
      <w:r>
        <w:t>evenredige</w:t>
      </w:r>
      <w:r w:rsidRPr="00436685">
        <w:t xml:space="preserve"> boete is, hangt af van alle relevante feiten en omstandigheden van het concrete geval</w:t>
      </w:r>
      <w:r>
        <w:t>.</w:t>
      </w:r>
    </w:p>
    <w:p w14:paraId="186CE200" w14:textId="77777777" w:rsidR="00824EB3" w:rsidRDefault="00824EB3" w:rsidP="00747FED">
      <w:pPr>
        <w:jc w:val="both"/>
      </w:pPr>
    </w:p>
    <w:p w14:paraId="5E9311BB" w14:textId="4E5CD549" w:rsidR="00401060" w:rsidRDefault="00824EB3" w:rsidP="00747FED">
      <w:pPr>
        <w:jc w:val="both"/>
        <w:rPr>
          <w:szCs w:val="22"/>
        </w:rPr>
      </w:pPr>
      <w:r w:rsidRPr="007F2885">
        <w:rPr>
          <w:szCs w:val="22"/>
        </w:rPr>
        <w:t xml:space="preserve">Zowel </w:t>
      </w:r>
      <w:proofErr w:type="spellStart"/>
      <w:r w:rsidRPr="007F2885">
        <w:rPr>
          <w:szCs w:val="22"/>
        </w:rPr>
        <w:t>strafverminderende</w:t>
      </w:r>
      <w:proofErr w:type="spellEnd"/>
      <w:r w:rsidRPr="007F2885">
        <w:rPr>
          <w:szCs w:val="22"/>
        </w:rPr>
        <w:t xml:space="preserve"> als strafverzwarende omstandigheden dienen bij de straftoemeting te worden betrokken. Zo zal in meer algemene zin rekening kunnen worden gehouden met de omstandigheid dat de rapportageplicht onder Richtlijn</w:t>
      </w:r>
      <w:r>
        <w:rPr>
          <w:szCs w:val="22"/>
        </w:rPr>
        <w:t xml:space="preserve"> en </w:t>
      </w:r>
      <w:r w:rsidR="00D803BC">
        <w:rPr>
          <w:szCs w:val="22"/>
        </w:rPr>
        <w:t>het</w:t>
      </w:r>
      <w:r>
        <w:rPr>
          <w:szCs w:val="22"/>
        </w:rPr>
        <w:t xml:space="preserve"> CARF</w:t>
      </w:r>
      <w:r w:rsidRPr="007F2885">
        <w:rPr>
          <w:szCs w:val="22"/>
        </w:rPr>
        <w:t xml:space="preserve"> nieuw is en het rapporterende aanbieders van cryptoactivadiensten</w:t>
      </w:r>
      <w:r>
        <w:rPr>
          <w:szCs w:val="22"/>
        </w:rPr>
        <w:t>.</w:t>
      </w:r>
      <w:r w:rsidRPr="007F2885">
        <w:rPr>
          <w:szCs w:val="22"/>
        </w:rPr>
        <w:t xml:space="preserve"> Daarom zal de bevoegdheid om boetes op te leggen in eerste instantie terughoudend worden uitgeoefend. </w:t>
      </w:r>
    </w:p>
    <w:p w14:paraId="75F067CB" w14:textId="77777777" w:rsidR="00401060" w:rsidRDefault="00401060" w:rsidP="00747FED">
      <w:pPr>
        <w:jc w:val="both"/>
        <w:rPr>
          <w:szCs w:val="22"/>
        </w:rPr>
      </w:pPr>
    </w:p>
    <w:p w14:paraId="54B4740C" w14:textId="028F5AA3" w:rsidR="00401060" w:rsidRDefault="00824EB3" w:rsidP="00747FED">
      <w:pPr>
        <w:jc w:val="both"/>
      </w:pPr>
      <w:r w:rsidRPr="00436685">
        <w:t>Volledigheidshalve wordt opgemerkt dat de sanctiebepaling alleen geldt ten aanzien van rapporterende aanbieders van cryptoactivadiensten en niet ten aanzien van te rapporteren gebruikers van cryptoactiva en uiteindelijk belanghebbenden die gebruik maken van de diensten van aanbieders van cryptoactivadiensten.</w:t>
      </w:r>
    </w:p>
    <w:p w14:paraId="2FFB79F6" w14:textId="77777777" w:rsidR="00B66A66" w:rsidRPr="00386E3F" w:rsidRDefault="00B66A66" w:rsidP="00B66A66">
      <w:pPr>
        <w:pStyle w:val="Kop1"/>
      </w:pPr>
      <w:bookmarkStart w:id="72" w:name="_Toc449610403"/>
      <w:bookmarkStart w:id="73" w:name="_Toc207732169"/>
      <w:bookmarkEnd w:id="70"/>
      <w:bookmarkEnd w:id="71"/>
      <w:r w:rsidRPr="00386E3F">
        <w:lastRenderedPageBreak/>
        <w:t>Logistiek</w:t>
      </w:r>
      <w:bookmarkEnd w:id="72"/>
      <w:bookmarkEnd w:id="73"/>
    </w:p>
    <w:p w14:paraId="5D82A623" w14:textId="77777777" w:rsidR="00B66A66" w:rsidRPr="00386E3F" w:rsidRDefault="00B66A66" w:rsidP="00B66A66">
      <w:pPr>
        <w:pStyle w:val="Kop2"/>
      </w:pPr>
      <w:bookmarkStart w:id="74" w:name="_Toc449610404"/>
      <w:bookmarkStart w:id="75" w:name="_Toc207732170"/>
      <w:r w:rsidRPr="00386E3F">
        <w:t>Algemeen</w:t>
      </w:r>
      <w:bookmarkEnd w:id="74"/>
      <w:bookmarkEnd w:id="75"/>
    </w:p>
    <w:p w14:paraId="782C6966" w14:textId="77777777" w:rsidR="00B66A66" w:rsidRPr="00386E3F" w:rsidRDefault="00B66A66" w:rsidP="00B66A66"/>
    <w:p w14:paraId="5AD46258" w14:textId="21B1FAB0" w:rsidR="00B66A66" w:rsidRPr="00386E3F" w:rsidRDefault="00130775" w:rsidP="00747FED">
      <w:pPr>
        <w:jc w:val="both"/>
      </w:pPr>
      <w:bookmarkStart w:id="76" w:name="_Toc333225175"/>
      <w:r w:rsidRPr="00386E3F">
        <w:t xml:space="preserve">Uit </w:t>
      </w:r>
      <w:r w:rsidR="00B66A66" w:rsidRPr="00386E3F">
        <w:t xml:space="preserve">de Regeling elektronisch berichtenverkeer Belastingdienst </w:t>
      </w:r>
      <w:r w:rsidRPr="00386E3F">
        <w:t xml:space="preserve">volgt dat </w:t>
      </w:r>
      <w:r w:rsidR="00B66A66" w:rsidRPr="00386E3F">
        <w:t xml:space="preserve">de benodigde gegevens via een beveiligde internetverbinding door de rapporterende entiteiten </w:t>
      </w:r>
      <w:r w:rsidR="00894076" w:rsidRPr="00386E3F">
        <w:t>bij</w:t>
      </w:r>
      <w:r w:rsidR="00B66A66" w:rsidRPr="00386E3F">
        <w:t xml:space="preserve"> de </w:t>
      </w:r>
      <w:r w:rsidR="004564A0" w:rsidRPr="00386E3F">
        <w:t>B</w:t>
      </w:r>
      <w:r w:rsidR="00B66A66" w:rsidRPr="00386E3F">
        <w:t xml:space="preserve">elastingdienst </w:t>
      </w:r>
      <w:r w:rsidRPr="00386E3F">
        <w:t xml:space="preserve">worden </w:t>
      </w:r>
      <w:r w:rsidR="00B66A66" w:rsidRPr="00386E3F">
        <w:t xml:space="preserve">aangeleverd. Dit wordt aangeduid met: elektronisch berichtenverkeer (EBV). In deel 2 van de handleiding is hierover meer specifieke informatie gegeven. </w:t>
      </w:r>
    </w:p>
    <w:p w14:paraId="20CDA037" w14:textId="77777777" w:rsidR="00B66A66" w:rsidRPr="00386E3F" w:rsidRDefault="00B66A66" w:rsidP="00747FED">
      <w:pPr>
        <w:jc w:val="both"/>
      </w:pPr>
    </w:p>
    <w:p w14:paraId="0B881415" w14:textId="77777777" w:rsidR="00B66A66" w:rsidRPr="00386E3F" w:rsidRDefault="00B66A66" w:rsidP="00747FED">
      <w:pPr>
        <w:jc w:val="both"/>
        <w:rPr>
          <w:i/>
        </w:rPr>
      </w:pPr>
      <w:r w:rsidRPr="00386E3F">
        <w:rPr>
          <w:i/>
        </w:rPr>
        <w:t>Bronnen en berichtgevers</w:t>
      </w:r>
    </w:p>
    <w:p w14:paraId="7E7722A5" w14:textId="77777777" w:rsidR="00B66A66" w:rsidRPr="00386E3F" w:rsidRDefault="00B66A66" w:rsidP="00747FED">
      <w:pPr>
        <w:jc w:val="both"/>
      </w:pPr>
      <w:r w:rsidRPr="00386E3F">
        <w:t xml:space="preserve">Voor het aanleveren van gegevens onderscheidt de Belastingdienst in zijn administratie </w:t>
      </w:r>
      <w:r w:rsidRPr="006D102A">
        <w:rPr>
          <w:i/>
        </w:rPr>
        <w:t>bronnen</w:t>
      </w:r>
      <w:r w:rsidRPr="00386E3F">
        <w:t xml:space="preserve"> en </w:t>
      </w:r>
      <w:r w:rsidRPr="00563783">
        <w:rPr>
          <w:i/>
          <w:iCs/>
        </w:rPr>
        <w:t>berichtgevers</w:t>
      </w:r>
      <w:r w:rsidRPr="00386E3F">
        <w:t>. Een bron is de formele eigenaar van de gegevens en is verplicht tot de gegevensaanlevering. Een berichtgever is de organisatie die de feitelijke aanlevering verzorgt namens de bron. In de regel zullen bron en berichtgever dezelfde organisatie zijn.</w:t>
      </w:r>
    </w:p>
    <w:p w14:paraId="3B791CE9" w14:textId="77777777" w:rsidR="00B66A66" w:rsidRPr="00386E3F" w:rsidRDefault="00B66A66" w:rsidP="00747FED">
      <w:pPr>
        <w:jc w:val="both"/>
      </w:pPr>
    </w:p>
    <w:p w14:paraId="3056F1FC" w14:textId="4B397B67" w:rsidR="00B66A66" w:rsidRPr="00386E3F" w:rsidRDefault="00B66A66" w:rsidP="00747FED">
      <w:pPr>
        <w:jc w:val="both"/>
      </w:pPr>
      <w:r w:rsidRPr="00386E3F">
        <w:t xml:space="preserve">Voor deze handleiding is de </w:t>
      </w:r>
      <w:r w:rsidR="00A07D39">
        <w:t>(</w:t>
      </w:r>
      <w:r w:rsidR="004461BF" w:rsidRPr="00386E3F">
        <w:t>rapporterende</w:t>
      </w:r>
      <w:r w:rsidR="00A07D39">
        <w:t xml:space="preserve">) </w:t>
      </w:r>
      <w:r w:rsidR="00EC08CF">
        <w:t xml:space="preserve">aanbieder van cryptoactivadiensten </w:t>
      </w:r>
      <w:r w:rsidRPr="00386E3F">
        <w:t xml:space="preserve">de bron. Wanneer een rapporterende </w:t>
      </w:r>
      <w:r w:rsidR="00EC08CF">
        <w:t xml:space="preserve">aanbieder van cryptoactivadiensten </w:t>
      </w:r>
      <w:r w:rsidRPr="00386E3F">
        <w:t xml:space="preserve">voor haar gegevensaanlevering gebruikmaakt van een servicebedrijf, wordt dat bedrijf aangemerkt als berichtgever. </w:t>
      </w:r>
    </w:p>
    <w:p w14:paraId="128E1423" w14:textId="77777777" w:rsidR="00B66A66" w:rsidRPr="00386E3F" w:rsidRDefault="00B66A66" w:rsidP="00747FED">
      <w:pPr>
        <w:jc w:val="both"/>
      </w:pPr>
    </w:p>
    <w:p w14:paraId="6FA7300B" w14:textId="4AF54B18" w:rsidR="00B66A66" w:rsidRPr="00386E3F" w:rsidRDefault="00B66A66" w:rsidP="00747FED">
      <w:pPr>
        <w:jc w:val="both"/>
      </w:pPr>
      <w:r w:rsidRPr="00386E3F">
        <w:t>De Belastingdienst communiceert met de bron over de aanleververplichting en kwaliteit van de gegevens. De bron ontvangt de uitnodigingsbrieven, verzoeken om correcties en herinneringen. De uitnodigingsbrief geeft geen aanlevering</w:t>
      </w:r>
      <w:r w:rsidR="004461BF">
        <w:t>s</w:t>
      </w:r>
      <w:r w:rsidRPr="00386E3F">
        <w:t>nummer mee. Elk bestand dient te worden voorzien van een aanlevering</w:t>
      </w:r>
      <w:r w:rsidR="000A5C93">
        <w:t xml:space="preserve"> </w:t>
      </w:r>
      <w:r w:rsidRPr="00386E3F">
        <w:t>nummer naar eigen systematiek. Elk bestand dat wordt aangeleverd heeft zo dus zijn unieke identificatie. Dit nummer gebruikt de Belastingdienst in de communicatie over het bestand.</w:t>
      </w:r>
    </w:p>
    <w:p w14:paraId="7BEB1213" w14:textId="77777777" w:rsidR="00B66A66" w:rsidRPr="00386E3F" w:rsidRDefault="00B66A66" w:rsidP="00747FED">
      <w:pPr>
        <w:jc w:val="both"/>
      </w:pPr>
    </w:p>
    <w:p w14:paraId="04215B51" w14:textId="77777777" w:rsidR="00B66A66" w:rsidRPr="00386E3F" w:rsidRDefault="00B66A66" w:rsidP="00747FED">
      <w:pPr>
        <w:jc w:val="both"/>
      </w:pPr>
      <w:r w:rsidRPr="00386E3F">
        <w:t>Met de berichtgever communiceert de Belastingdienst over de verwerking van de gegevensaanlevering. De berichtgever moet voldoen aan de verplichtingen die aan de bron zijn gesteld. Voldoet een berichtgever hier niet aan, dan meldt de Belastingdienst dit aan de eigenaar (de bron) van de gegevens.</w:t>
      </w:r>
    </w:p>
    <w:p w14:paraId="0EB8E202" w14:textId="77777777" w:rsidR="00B66A66" w:rsidRPr="00386E3F" w:rsidRDefault="00B66A66" w:rsidP="00747FED">
      <w:pPr>
        <w:jc w:val="both"/>
      </w:pPr>
    </w:p>
    <w:p w14:paraId="65C32750" w14:textId="2E11C6B2" w:rsidR="00B66A66" w:rsidRPr="00386E3F" w:rsidRDefault="00B66A66" w:rsidP="00747FED">
      <w:pPr>
        <w:jc w:val="both"/>
      </w:pPr>
      <w:r w:rsidRPr="00EC08CF">
        <w:t>Om het totale proces goed te laten verlopen, is het belangrijk dat de gegevens</w:t>
      </w:r>
      <w:r w:rsidR="00FC25E7">
        <w:t xml:space="preserve"> van </w:t>
      </w:r>
      <w:r w:rsidR="00FC25E7" w:rsidRPr="006B29AD">
        <w:t>de berichtgever</w:t>
      </w:r>
      <w:r w:rsidRPr="006B29AD">
        <w:t xml:space="preserve"> goed</w:t>
      </w:r>
      <w:r w:rsidRPr="00EC08CF">
        <w:t xml:space="preserve"> bij de Belastingdienst staan geadministreerd. Het is dan ook van belang om wijzigingen in naam, adres, woonplaats en andere contactgegevens zo spoedig mogelijk door te geven. In </w:t>
      </w:r>
      <w:r w:rsidRPr="008A1F19">
        <w:t xml:space="preserve">paragraaf </w:t>
      </w:r>
      <w:r w:rsidRPr="008A1F19">
        <w:fldChar w:fldCharType="begin"/>
      </w:r>
      <w:r w:rsidRPr="008A1F19">
        <w:instrText xml:space="preserve"> REF _Ref345578708 \r \h  \* MERGEFORMAT </w:instrText>
      </w:r>
      <w:r w:rsidRPr="008A1F19">
        <w:fldChar w:fldCharType="separate"/>
      </w:r>
      <w:r w:rsidR="00441E06" w:rsidRPr="008A1F19">
        <w:t>7.2</w:t>
      </w:r>
      <w:r w:rsidRPr="008A1F19">
        <w:fldChar w:fldCharType="end"/>
      </w:r>
      <w:r w:rsidRPr="00EC08CF">
        <w:t xml:space="preserve"> zijn de hiervoor van belang zijnde contactgegevens terug te vinden.</w:t>
      </w:r>
    </w:p>
    <w:p w14:paraId="0AC817EF" w14:textId="45D96782" w:rsidR="00B66A66" w:rsidRPr="00386E3F" w:rsidRDefault="00B66A66" w:rsidP="00B66A66">
      <w:pPr>
        <w:pStyle w:val="Kop2"/>
      </w:pPr>
      <w:bookmarkStart w:id="77" w:name="_Toc446071427"/>
      <w:bookmarkStart w:id="78" w:name="_Toc449610405"/>
      <w:bookmarkStart w:id="79" w:name="_Toc207732171"/>
      <w:proofErr w:type="spellStart"/>
      <w:r w:rsidRPr="00386E3F">
        <w:t>Heraanleveringen</w:t>
      </w:r>
      <w:proofErr w:type="spellEnd"/>
      <w:r w:rsidRPr="00386E3F">
        <w:t>, correcties, aanvullingen en intrekkingen</w:t>
      </w:r>
      <w:bookmarkEnd w:id="77"/>
      <w:bookmarkEnd w:id="78"/>
      <w:bookmarkEnd w:id="79"/>
    </w:p>
    <w:p w14:paraId="394AE692" w14:textId="77777777" w:rsidR="00B66A66" w:rsidRPr="00386E3F" w:rsidRDefault="00B66A66" w:rsidP="00B66A66"/>
    <w:p w14:paraId="097C321B" w14:textId="25157735" w:rsidR="0005243A" w:rsidRDefault="00392C0B" w:rsidP="00747FED">
      <w:pPr>
        <w:jc w:val="both"/>
      </w:pPr>
      <w:r>
        <w:t xml:space="preserve">Als de Belastingdienst via </w:t>
      </w:r>
      <w:proofErr w:type="spellStart"/>
      <w:r w:rsidR="005B7FF4">
        <w:t>Digipoort</w:t>
      </w:r>
      <w:proofErr w:type="spellEnd"/>
      <w:r w:rsidR="005B7FF4">
        <w:t xml:space="preserve"> </w:t>
      </w:r>
      <w:r w:rsidR="00946A70">
        <w:t xml:space="preserve"> of via “het Portaal” </w:t>
      </w:r>
      <w:r>
        <w:t xml:space="preserve">het bericht van de </w:t>
      </w:r>
      <w:r w:rsidR="005B7FF4">
        <w:t xml:space="preserve">aanbieder van cryptoactivadiensten </w:t>
      </w:r>
      <w:r>
        <w:t>heeft ontvangen, controleert de Belastingdienst de XML</w:t>
      </w:r>
      <w:r w:rsidR="005B7FF4">
        <w:t>.</w:t>
      </w:r>
      <w:r>
        <w:t xml:space="preserve"> </w:t>
      </w:r>
    </w:p>
    <w:p w14:paraId="1C9C64E0" w14:textId="04A18BC4" w:rsidR="005A60D3" w:rsidRPr="005A60D3" w:rsidRDefault="005A60D3" w:rsidP="00747FED">
      <w:pPr>
        <w:pStyle w:val="Lijstalinea"/>
        <w:numPr>
          <w:ilvl w:val="0"/>
          <w:numId w:val="17"/>
        </w:numPr>
        <w:jc w:val="both"/>
      </w:pPr>
      <w:r>
        <w:t>Allereerst wordt een technische controle uitgevoerd. Daarbij wordt geconstateerd of het aangeleverde bericht technisch verwerkbaar is, en of het bericht voldoet aan het gespecificeerde X</w:t>
      </w:r>
      <w:r w:rsidR="00376FDD">
        <w:t>SD</w:t>
      </w:r>
      <w:r>
        <w:t xml:space="preserve"> Schema middels een X</w:t>
      </w:r>
      <w:r w:rsidR="00376FDD">
        <w:t>SD</w:t>
      </w:r>
      <w:r>
        <w:t xml:space="preserve"> Schema validatie.</w:t>
      </w:r>
      <w:r w:rsidRPr="005A60D3">
        <w:rPr>
          <w:rFonts w:cs="Verdana"/>
          <w:color w:val="000000"/>
          <w:szCs w:val="18"/>
        </w:rPr>
        <w:t xml:space="preserve"> </w:t>
      </w:r>
    </w:p>
    <w:p w14:paraId="6D49D59C" w14:textId="0BCC24D2" w:rsidR="005A60D3" w:rsidRDefault="005A60D3" w:rsidP="00747FED">
      <w:pPr>
        <w:numPr>
          <w:ilvl w:val="0"/>
          <w:numId w:val="17"/>
        </w:numPr>
        <w:autoSpaceDE w:val="0"/>
        <w:autoSpaceDN w:val="0"/>
        <w:adjustRightInd w:val="0"/>
        <w:jc w:val="both"/>
        <w:rPr>
          <w:rFonts w:cs="Verdana"/>
          <w:color w:val="000000"/>
          <w:szCs w:val="18"/>
        </w:rPr>
      </w:pPr>
      <w:r w:rsidRPr="00D9017C">
        <w:rPr>
          <w:rFonts w:cs="Verdana"/>
          <w:color w:val="000000"/>
          <w:szCs w:val="18"/>
        </w:rPr>
        <w:t xml:space="preserve">Als er een technische fout in </w:t>
      </w:r>
      <w:r>
        <w:rPr>
          <w:rFonts w:cs="Verdana"/>
          <w:color w:val="000000"/>
          <w:szCs w:val="18"/>
        </w:rPr>
        <w:t>het</w:t>
      </w:r>
      <w:r w:rsidRPr="00D9017C">
        <w:rPr>
          <w:rFonts w:cs="Verdana"/>
          <w:color w:val="000000"/>
          <w:szCs w:val="18"/>
        </w:rPr>
        <w:t xml:space="preserve"> XML </w:t>
      </w:r>
      <w:r>
        <w:rPr>
          <w:rFonts w:cs="Verdana"/>
          <w:color w:val="000000"/>
          <w:szCs w:val="18"/>
        </w:rPr>
        <w:t xml:space="preserve">bericht </w:t>
      </w:r>
      <w:r w:rsidRPr="00D9017C">
        <w:rPr>
          <w:rFonts w:cs="Verdana"/>
          <w:color w:val="000000"/>
          <w:szCs w:val="18"/>
        </w:rPr>
        <w:t xml:space="preserve">aanwezig is, is een nieuwe aanlevering noodzakelijk. Deze nieuwe aanlevering is het gevolg van het ‘foutbericht’ welke de </w:t>
      </w:r>
      <w:proofErr w:type="spellStart"/>
      <w:r>
        <w:rPr>
          <w:rFonts w:cs="Verdana"/>
          <w:color w:val="000000"/>
          <w:szCs w:val="18"/>
        </w:rPr>
        <w:t>cryptoactivadienstverlener</w:t>
      </w:r>
      <w:proofErr w:type="spellEnd"/>
      <w:r>
        <w:rPr>
          <w:rFonts w:cs="Verdana"/>
          <w:color w:val="000000"/>
          <w:szCs w:val="18"/>
        </w:rPr>
        <w:t xml:space="preserve"> </w:t>
      </w:r>
      <w:r w:rsidRPr="00D9017C">
        <w:rPr>
          <w:rFonts w:cs="Verdana"/>
          <w:color w:val="000000"/>
          <w:szCs w:val="18"/>
        </w:rPr>
        <w:t xml:space="preserve">van de Belastingdienst via </w:t>
      </w:r>
      <w:proofErr w:type="spellStart"/>
      <w:r w:rsidRPr="00D9017C">
        <w:rPr>
          <w:rFonts w:cs="Verdana"/>
          <w:color w:val="000000"/>
          <w:szCs w:val="18"/>
        </w:rPr>
        <w:t>Digipoort</w:t>
      </w:r>
      <w:proofErr w:type="spellEnd"/>
      <w:r w:rsidRPr="00D9017C">
        <w:rPr>
          <w:rFonts w:cs="Verdana"/>
          <w:color w:val="000000"/>
          <w:szCs w:val="18"/>
        </w:rPr>
        <w:t xml:space="preserve"> van </w:t>
      </w:r>
      <w:proofErr w:type="spellStart"/>
      <w:r w:rsidRPr="00D9017C">
        <w:rPr>
          <w:rFonts w:cs="Verdana"/>
          <w:color w:val="000000"/>
          <w:szCs w:val="18"/>
        </w:rPr>
        <w:t>Logius</w:t>
      </w:r>
      <w:proofErr w:type="spellEnd"/>
      <w:r w:rsidRPr="00D9017C">
        <w:rPr>
          <w:rFonts w:cs="Verdana"/>
          <w:color w:val="000000"/>
          <w:szCs w:val="18"/>
        </w:rPr>
        <w:t xml:space="preserve"> heeft ontvangen</w:t>
      </w:r>
      <w:r>
        <w:rPr>
          <w:rFonts w:cs="Verdana"/>
          <w:color w:val="000000"/>
          <w:szCs w:val="18"/>
        </w:rPr>
        <w:t>.</w:t>
      </w:r>
      <w:r w:rsidRPr="00FC25E7">
        <w:rPr>
          <w:rFonts w:cs="Verdana"/>
          <w:color w:val="000000"/>
          <w:szCs w:val="18"/>
          <w:vertAlign w:val="superscript"/>
        </w:rPr>
        <w:t xml:space="preserve"> </w:t>
      </w:r>
      <w:r w:rsidRPr="00D9017C">
        <w:rPr>
          <w:rFonts w:cs="Verdana"/>
          <w:color w:val="000000"/>
          <w:szCs w:val="18"/>
        </w:rPr>
        <w:t xml:space="preserve">Indien dit het geval is, dient de </w:t>
      </w:r>
      <w:r>
        <w:rPr>
          <w:rFonts w:cs="Verdana"/>
          <w:color w:val="000000"/>
          <w:szCs w:val="18"/>
        </w:rPr>
        <w:t>aanbieder van cryptoactivadiensten</w:t>
      </w:r>
      <w:r w:rsidRPr="00D9017C">
        <w:rPr>
          <w:rFonts w:cs="Verdana"/>
          <w:color w:val="000000"/>
          <w:szCs w:val="18"/>
        </w:rPr>
        <w:t xml:space="preserve"> zorg te dragen voor een nieuwe, verbeterde gegevensaanlevering. Bij een nieuwe aanlevering moet het hele bestand </w:t>
      </w:r>
      <w:r w:rsidR="00FC25E7">
        <w:rPr>
          <w:rFonts w:cs="Verdana"/>
          <w:color w:val="000000"/>
          <w:szCs w:val="18"/>
        </w:rPr>
        <w:t xml:space="preserve">opnieuw </w:t>
      </w:r>
      <w:r w:rsidRPr="00D9017C">
        <w:rPr>
          <w:rFonts w:cs="Verdana"/>
          <w:color w:val="000000"/>
          <w:szCs w:val="18"/>
        </w:rPr>
        <w:t>worden</w:t>
      </w:r>
      <w:r w:rsidRPr="005A60D3">
        <w:rPr>
          <w:rFonts w:cs="Verdana"/>
          <w:color w:val="000000"/>
          <w:szCs w:val="18"/>
        </w:rPr>
        <w:t xml:space="preserve"> </w:t>
      </w:r>
      <w:r w:rsidRPr="00D9017C">
        <w:rPr>
          <w:rFonts w:cs="Verdana"/>
          <w:color w:val="000000"/>
          <w:szCs w:val="18"/>
        </w:rPr>
        <w:t xml:space="preserve">aangeleverd. Het nieuwe bestand dient op dezelfde manier te worden aangeleverd als de initiële levering. </w:t>
      </w:r>
    </w:p>
    <w:p w14:paraId="0E162543" w14:textId="2E9B22E0" w:rsidR="005A60D3" w:rsidRDefault="005A60D3" w:rsidP="00747FED">
      <w:pPr>
        <w:numPr>
          <w:ilvl w:val="0"/>
          <w:numId w:val="17"/>
        </w:numPr>
        <w:autoSpaceDE w:val="0"/>
        <w:autoSpaceDN w:val="0"/>
        <w:adjustRightInd w:val="0"/>
        <w:spacing w:after="15"/>
        <w:jc w:val="both"/>
        <w:rPr>
          <w:rFonts w:cs="Verdana"/>
          <w:color w:val="000000"/>
          <w:szCs w:val="18"/>
        </w:rPr>
      </w:pPr>
      <w:r w:rsidRPr="00D9017C">
        <w:rPr>
          <w:rFonts w:cs="Verdana"/>
          <w:color w:val="000000"/>
          <w:szCs w:val="18"/>
        </w:rPr>
        <w:t xml:space="preserve">Als er </w:t>
      </w:r>
      <w:r w:rsidR="000751C3">
        <w:rPr>
          <w:rFonts w:cs="Verdana"/>
          <w:color w:val="000000"/>
          <w:szCs w:val="18"/>
        </w:rPr>
        <w:t xml:space="preserve">geen </w:t>
      </w:r>
      <w:r w:rsidRPr="00D9017C">
        <w:rPr>
          <w:rFonts w:cs="Verdana"/>
          <w:color w:val="000000"/>
          <w:szCs w:val="18"/>
        </w:rPr>
        <w:t xml:space="preserve"> technische fout in </w:t>
      </w:r>
      <w:r>
        <w:rPr>
          <w:rFonts w:cs="Verdana"/>
          <w:color w:val="000000"/>
          <w:szCs w:val="18"/>
        </w:rPr>
        <w:t>het</w:t>
      </w:r>
      <w:r w:rsidRPr="00D9017C">
        <w:rPr>
          <w:rFonts w:cs="Verdana"/>
          <w:color w:val="000000"/>
          <w:szCs w:val="18"/>
        </w:rPr>
        <w:t xml:space="preserve"> XML </w:t>
      </w:r>
      <w:r>
        <w:rPr>
          <w:rFonts w:cs="Verdana"/>
          <w:color w:val="000000"/>
          <w:szCs w:val="18"/>
        </w:rPr>
        <w:t xml:space="preserve">bericht </w:t>
      </w:r>
      <w:r w:rsidRPr="00D9017C">
        <w:rPr>
          <w:rFonts w:cs="Verdana"/>
          <w:color w:val="000000"/>
          <w:szCs w:val="18"/>
        </w:rPr>
        <w:t xml:space="preserve">aanwezig is, </w:t>
      </w:r>
      <w:r>
        <w:rPr>
          <w:rFonts w:cs="Verdana"/>
          <w:color w:val="000000"/>
          <w:szCs w:val="18"/>
        </w:rPr>
        <w:t xml:space="preserve">wordt het bericht verder door de Belastingdienst verwerkt en worden </w:t>
      </w:r>
      <w:r w:rsidR="00FC25E7">
        <w:rPr>
          <w:rFonts w:cs="Verdana"/>
          <w:color w:val="000000"/>
          <w:szCs w:val="18"/>
        </w:rPr>
        <w:t xml:space="preserve">de </w:t>
      </w:r>
      <w:r>
        <w:rPr>
          <w:rFonts w:cs="Verdana"/>
          <w:color w:val="000000"/>
          <w:szCs w:val="18"/>
        </w:rPr>
        <w:t xml:space="preserve">business </w:t>
      </w:r>
      <w:proofErr w:type="spellStart"/>
      <w:r>
        <w:rPr>
          <w:rFonts w:cs="Verdana"/>
          <w:color w:val="000000"/>
          <w:szCs w:val="18"/>
        </w:rPr>
        <w:t>rules</w:t>
      </w:r>
      <w:proofErr w:type="spellEnd"/>
      <w:r>
        <w:rPr>
          <w:rFonts w:cs="Verdana"/>
          <w:color w:val="000000"/>
          <w:szCs w:val="18"/>
        </w:rPr>
        <w:t xml:space="preserve"> gecontroleerd. Wanneer het bericht </w:t>
      </w:r>
      <w:r w:rsidRPr="00D9017C">
        <w:rPr>
          <w:rFonts w:cs="Verdana"/>
          <w:color w:val="000000"/>
          <w:szCs w:val="18"/>
        </w:rPr>
        <w:t>op grond van de</w:t>
      </w:r>
      <w:r>
        <w:rPr>
          <w:rFonts w:cs="Verdana"/>
          <w:color w:val="000000"/>
          <w:szCs w:val="18"/>
        </w:rPr>
        <w:t xml:space="preserve"> controle op business </w:t>
      </w:r>
      <w:proofErr w:type="spellStart"/>
      <w:r>
        <w:rPr>
          <w:rFonts w:cs="Verdana"/>
          <w:color w:val="000000"/>
          <w:szCs w:val="18"/>
        </w:rPr>
        <w:t>rules</w:t>
      </w:r>
      <w:proofErr w:type="spellEnd"/>
      <w:r>
        <w:rPr>
          <w:rFonts w:cs="Verdana"/>
          <w:color w:val="000000"/>
          <w:szCs w:val="18"/>
        </w:rPr>
        <w:t xml:space="preserve"> </w:t>
      </w:r>
      <w:r w:rsidRPr="00D9017C">
        <w:rPr>
          <w:rFonts w:cs="Verdana"/>
          <w:color w:val="000000"/>
          <w:szCs w:val="18"/>
        </w:rPr>
        <w:t xml:space="preserve">inhoudelijk </w:t>
      </w:r>
      <w:r>
        <w:rPr>
          <w:rFonts w:cs="Verdana"/>
          <w:color w:val="000000"/>
          <w:szCs w:val="18"/>
        </w:rPr>
        <w:t xml:space="preserve">wordt </w:t>
      </w:r>
      <w:r w:rsidRPr="00D9017C">
        <w:rPr>
          <w:rFonts w:cs="Verdana"/>
          <w:color w:val="000000"/>
          <w:szCs w:val="18"/>
        </w:rPr>
        <w:t xml:space="preserve">afgekeurd, ontvangt de </w:t>
      </w:r>
      <w:proofErr w:type="spellStart"/>
      <w:r>
        <w:rPr>
          <w:rFonts w:cs="Verdana"/>
          <w:color w:val="000000"/>
          <w:szCs w:val="18"/>
        </w:rPr>
        <w:t>cryptoactivadienstverlener</w:t>
      </w:r>
      <w:proofErr w:type="spellEnd"/>
      <w:r>
        <w:rPr>
          <w:rFonts w:cs="Verdana"/>
          <w:color w:val="000000"/>
          <w:szCs w:val="18"/>
        </w:rPr>
        <w:t xml:space="preserve"> </w:t>
      </w:r>
      <w:r w:rsidRPr="00D9017C">
        <w:rPr>
          <w:rFonts w:cs="Verdana"/>
          <w:color w:val="000000"/>
          <w:szCs w:val="18"/>
        </w:rPr>
        <w:t xml:space="preserve">een </w:t>
      </w:r>
      <w:r w:rsidRPr="00D9017C">
        <w:rPr>
          <w:rFonts w:cs="Verdana"/>
          <w:color w:val="000000"/>
          <w:szCs w:val="18"/>
        </w:rPr>
        <w:lastRenderedPageBreak/>
        <w:t xml:space="preserve">‘foutbericht’ en zal de </w:t>
      </w:r>
      <w:proofErr w:type="spellStart"/>
      <w:r>
        <w:rPr>
          <w:rFonts w:cs="Verdana"/>
          <w:color w:val="000000"/>
          <w:szCs w:val="18"/>
        </w:rPr>
        <w:t>cryptoactivadienstverlener</w:t>
      </w:r>
      <w:proofErr w:type="spellEnd"/>
      <w:r>
        <w:rPr>
          <w:rFonts w:cs="Verdana"/>
          <w:color w:val="000000"/>
          <w:szCs w:val="18"/>
        </w:rPr>
        <w:t xml:space="preserve"> </w:t>
      </w:r>
      <w:r w:rsidRPr="00D9017C">
        <w:rPr>
          <w:rFonts w:cs="Verdana"/>
          <w:color w:val="000000"/>
          <w:szCs w:val="18"/>
        </w:rPr>
        <w:t xml:space="preserve">afhankelijk van de geconstateerde fout(en) een nieuwe aanlevering dan wel correctie dienen te doen. </w:t>
      </w:r>
    </w:p>
    <w:p w14:paraId="3DE9D9D3" w14:textId="04E7E232" w:rsidR="005A60D3" w:rsidRPr="005A60D3" w:rsidRDefault="005A60D3" w:rsidP="00747FED">
      <w:pPr>
        <w:autoSpaceDE w:val="0"/>
        <w:autoSpaceDN w:val="0"/>
        <w:adjustRightInd w:val="0"/>
        <w:spacing w:after="15"/>
        <w:ind w:left="360"/>
        <w:jc w:val="both"/>
        <w:rPr>
          <w:rFonts w:cs="Verdana"/>
          <w:color w:val="000000"/>
          <w:szCs w:val="18"/>
        </w:rPr>
      </w:pPr>
      <w:r>
        <w:rPr>
          <w:rFonts w:cs="Verdana"/>
          <w:color w:val="000000"/>
          <w:szCs w:val="18"/>
        </w:rPr>
        <w:t xml:space="preserve">In de terugkoppeling aan de aanbieder van het bericht wordt aangegeven welke fouten geconstateerd zijn. Daarbij wordt gebruik gemaakt van in de </w:t>
      </w:r>
      <w:r w:rsidR="00C64BEE">
        <w:rPr>
          <w:rFonts w:cs="Verdana"/>
          <w:color w:val="000000"/>
          <w:szCs w:val="18"/>
        </w:rPr>
        <w:t>h</w:t>
      </w:r>
      <w:r>
        <w:rPr>
          <w:rFonts w:cs="Verdana"/>
          <w:color w:val="000000"/>
          <w:szCs w:val="18"/>
        </w:rPr>
        <w:t>andleiding vooraf vastgestelde foutcodes.</w:t>
      </w:r>
    </w:p>
    <w:p w14:paraId="59A7C211" w14:textId="77777777" w:rsidR="00376FDD" w:rsidRDefault="00376FDD" w:rsidP="00376FDD">
      <w:pPr>
        <w:jc w:val="both"/>
        <w:rPr>
          <w:color w:val="000000" w:themeColor="text1"/>
        </w:rPr>
      </w:pPr>
    </w:p>
    <w:p w14:paraId="31E1682F" w14:textId="4FB12365" w:rsidR="005B7FF4" w:rsidRPr="00376FDD" w:rsidRDefault="005B7FF4" w:rsidP="00376FDD">
      <w:pPr>
        <w:jc w:val="both"/>
        <w:rPr>
          <w:color w:val="000000" w:themeColor="text1"/>
        </w:rPr>
      </w:pPr>
      <w:r w:rsidRPr="00376FDD">
        <w:rPr>
          <w:color w:val="000000" w:themeColor="text1"/>
        </w:rPr>
        <w:t>Als gegevens aangeleverd dienen te worden bij de Belastingdienst is de meest actuele informatie nodig om te weten waaraan moet worden voldaan. Deze informatie is te vinden op de ODB</w:t>
      </w:r>
      <w:r w:rsidRPr="00EC2898">
        <w:rPr>
          <w:rStyle w:val="Voetnootmarkering"/>
          <w:color w:val="000000" w:themeColor="text1"/>
          <w:vertAlign w:val="superscript"/>
        </w:rPr>
        <w:footnoteReference w:id="18"/>
      </w:r>
      <w:r w:rsidRPr="00376FDD">
        <w:rPr>
          <w:color w:val="000000" w:themeColor="text1"/>
        </w:rPr>
        <w:t xml:space="preserve"> website: https://</w:t>
      </w:r>
      <w:hyperlink r:id="rId14" w:history="1">
        <w:r w:rsidRPr="00376FDD">
          <w:rPr>
            <w:rStyle w:val="Hyperlink"/>
            <w:color w:val="000000" w:themeColor="text1"/>
          </w:rPr>
          <w:t>odb.belastingdienst.nl</w:t>
        </w:r>
      </w:hyperlink>
      <w:r w:rsidRPr="00376FDD">
        <w:rPr>
          <w:color w:val="000000" w:themeColor="text1"/>
        </w:rPr>
        <w:t xml:space="preserve">. Op deze website zijn alle delen van de handleiding terug te vinden, inclusief de </w:t>
      </w:r>
      <w:proofErr w:type="spellStart"/>
      <w:r w:rsidRPr="00376FDD">
        <w:rPr>
          <w:color w:val="000000" w:themeColor="text1"/>
        </w:rPr>
        <w:t>XSD’s</w:t>
      </w:r>
      <w:proofErr w:type="spellEnd"/>
      <w:r w:rsidRPr="00376FDD">
        <w:rPr>
          <w:color w:val="000000" w:themeColor="text1"/>
        </w:rPr>
        <w:t xml:space="preserve"> voor alle in deze handleiding beschreven XML-berichten. </w:t>
      </w:r>
    </w:p>
    <w:p w14:paraId="7D8E1388" w14:textId="77777777" w:rsidR="00376FDD" w:rsidRDefault="00376FDD" w:rsidP="00376FDD">
      <w:pPr>
        <w:jc w:val="both"/>
        <w:rPr>
          <w:color w:val="000000" w:themeColor="text1"/>
        </w:rPr>
      </w:pPr>
    </w:p>
    <w:p w14:paraId="2F66A80B" w14:textId="189A968B" w:rsidR="005B7FF4" w:rsidRPr="00376FDD" w:rsidRDefault="005B7FF4" w:rsidP="00376FDD">
      <w:pPr>
        <w:jc w:val="both"/>
        <w:rPr>
          <w:color w:val="000000" w:themeColor="text1"/>
        </w:rPr>
      </w:pPr>
      <w:r w:rsidRPr="00376FDD">
        <w:rPr>
          <w:color w:val="000000" w:themeColor="text1"/>
        </w:rPr>
        <w:t>Andere locaties waar de nodige informatie te vinden is, zijn:</w:t>
      </w:r>
    </w:p>
    <w:p w14:paraId="20C30EFE" w14:textId="274A67ED" w:rsidR="005B7FF4" w:rsidRPr="00FC25E7" w:rsidRDefault="005B7FF4" w:rsidP="00B625EA">
      <w:pPr>
        <w:pStyle w:val="Lijstalinea"/>
        <w:numPr>
          <w:ilvl w:val="0"/>
          <w:numId w:val="20"/>
        </w:numPr>
        <w:ind w:left="754" w:hanging="357"/>
        <w:jc w:val="both"/>
        <w:rPr>
          <w:color w:val="000000" w:themeColor="text1"/>
        </w:rPr>
      </w:pPr>
      <w:hyperlink r:id="rId15" w:history="1">
        <w:r w:rsidRPr="00AB297A">
          <w:rPr>
            <w:rStyle w:val="Hyperlink"/>
          </w:rPr>
          <w:t>http://www.logius.nl</w:t>
        </w:r>
      </w:hyperlink>
      <w:r w:rsidR="00FC25E7">
        <w:rPr>
          <w:rStyle w:val="Hyperlink"/>
        </w:rPr>
        <w:br/>
      </w:r>
      <w:proofErr w:type="spellStart"/>
      <w:r w:rsidRPr="00FC25E7">
        <w:rPr>
          <w:color w:val="000000" w:themeColor="text1"/>
        </w:rPr>
        <w:t>Logius</w:t>
      </w:r>
      <w:proofErr w:type="spellEnd"/>
      <w:r w:rsidRPr="00FC25E7">
        <w:rPr>
          <w:color w:val="000000" w:themeColor="text1"/>
        </w:rPr>
        <w:t>, de dienst digitale overheid van het Ministerie van Binnenlandse Zaken en Koninkrijksrelaties, verzorgt het Elektronisch berichtenverkeer (EBV) voor de Belastingdienst via de voorziening ‘</w:t>
      </w:r>
      <w:proofErr w:type="spellStart"/>
      <w:r w:rsidRPr="00FC25E7">
        <w:rPr>
          <w:color w:val="000000" w:themeColor="text1"/>
        </w:rPr>
        <w:t>Digipoort</w:t>
      </w:r>
      <w:proofErr w:type="spellEnd"/>
      <w:r w:rsidRPr="00FC25E7">
        <w:rPr>
          <w:color w:val="000000" w:themeColor="text1"/>
        </w:rPr>
        <w:t>’;</w:t>
      </w:r>
    </w:p>
    <w:p w14:paraId="7622F0D3" w14:textId="77777777" w:rsidR="005B7FF4" w:rsidRPr="00CE724C" w:rsidRDefault="005B7FF4" w:rsidP="00B625EA">
      <w:pPr>
        <w:pStyle w:val="Lijstalinea"/>
        <w:numPr>
          <w:ilvl w:val="0"/>
          <w:numId w:val="20"/>
        </w:numPr>
        <w:ind w:left="754" w:hanging="357"/>
        <w:jc w:val="both"/>
        <w:rPr>
          <w:rStyle w:val="Hyperlink"/>
          <w:color w:val="000000" w:themeColor="text1"/>
          <w:u w:val="none"/>
        </w:rPr>
      </w:pPr>
      <w:r w:rsidRPr="00CE724C">
        <w:rPr>
          <w:color w:val="000000" w:themeColor="text1"/>
        </w:rPr>
        <w:t xml:space="preserve">Meer over </w:t>
      </w:r>
      <w:proofErr w:type="spellStart"/>
      <w:r w:rsidRPr="00CE724C">
        <w:rPr>
          <w:color w:val="000000" w:themeColor="text1"/>
        </w:rPr>
        <w:t>Logius</w:t>
      </w:r>
      <w:proofErr w:type="spellEnd"/>
      <w:r w:rsidRPr="00CE724C">
        <w:rPr>
          <w:color w:val="000000" w:themeColor="text1"/>
        </w:rPr>
        <w:t xml:space="preserve"> en de Ondersteuning Digitaal Berichtenverkeer (ODB) is te lezen in Deel 2 van deze handleiding. Deel 2 is te raadplegen via </w:t>
      </w:r>
      <w:hyperlink r:id="rId16" w:history="1">
        <w:r w:rsidRPr="00CE724C">
          <w:rPr>
            <w:rStyle w:val="Hyperlink"/>
            <w:color w:val="000000" w:themeColor="text1"/>
          </w:rPr>
          <w:t>https://odb.belastingdienst.nl/</w:t>
        </w:r>
      </w:hyperlink>
      <w:r w:rsidRPr="00CE724C">
        <w:rPr>
          <w:rStyle w:val="Hyperlink"/>
          <w:color w:val="000000" w:themeColor="text1"/>
          <w:u w:val="none"/>
        </w:rPr>
        <w:t>.</w:t>
      </w:r>
    </w:p>
    <w:p w14:paraId="357DC497" w14:textId="77777777" w:rsidR="005B7FF4" w:rsidRPr="00386E3F" w:rsidRDefault="005B7FF4" w:rsidP="00FC25E7">
      <w:pPr>
        <w:ind w:left="284"/>
      </w:pPr>
    </w:p>
    <w:p w14:paraId="515E326E" w14:textId="77777777" w:rsidR="00B66A66" w:rsidRPr="00386E3F" w:rsidRDefault="00B66A66" w:rsidP="00B66A66"/>
    <w:p w14:paraId="0C59950B" w14:textId="77777777" w:rsidR="00B66A66" w:rsidRPr="00386E3F" w:rsidRDefault="00B66A66" w:rsidP="00B66A66">
      <w:pPr>
        <w:pStyle w:val="Kop1"/>
      </w:pPr>
      <w:bookmarkStart w:id="80" w:name="_Toc333225186"/>
      <w:bookmarkStart w:id="81" w:name="_Toc444590548"/>
      <w:bookmarkStart w:id="82" w:name="_Toc449610406"/>
      <w:bookmarkStart w:id="83" w:name="_Toc207732172"/>
      <w:bookmarkEnd w:id="76"/>
      <w:r w:rsidRPr="00386E3F">
        <w:lastRenderedPageBreak/>
        <w:t>Ondersteuning</w:t>
      </w:r>
      <w:bookmarkEnd w:id="80"/>
      <w:bookmarkEnd w:id="81"/>
      <w:bookmarkEnd w:id="82"/>
      <w:bookmarkEnd w:id="83"/>
      <w:r w:rsidRPr="00386E3F">
        <w:t xml:space="preserve"> </w:t>
      </w:r>
    </w:p>
    <w:p w14:paraId="63B786C2" w14:textId="77777777" w:rsidR="00B66A66" w:rsidRPr="00386E3F" w:rsidRDefault="00B66A66" w:rsidP="00B66A66">
      <w:pPr>
        <w:pStyle w:val="Kop2"/>
      </w:pPr>
      <w:bookmarkStart w:id="84" w:name="_Toc333225187"/>
      <w:bookmarkStart w:id="85" w:name="_Toc444590549"/>
      <w:bookmarkStart w:id="86" w:name="_Toc449610407"/>
      <w:bookmarkStart w:id="87" w:name="_Toc207732173"/>
      <w:r w:rsidRPr="00386E3F">
        <w:t>Dienstverlening</w:t>
      </w:r>
      <w:bookmarkEnd w:id="84"/>
      <w:bookmarkEnd w:id="85"/>
      <w:bookmarkEnd w:id="86"/>
      <w:bookmarkEnd w:id="87"/>
    </w:p>
    <w:p w14:paraId="12B9B06C" w14:textId="77777777" w:rsidR="00B66A66" w:rsidRPr="00386E3F" w:rsidRDefault="00B66A66" w:rsidP="00B66A66"/>
    <w:p w14:paraId="78B1E0F1" w14:textId="77777777" w:rsidR="00B66A66" w:rsidRPr="00386E3F" w:rsidRDefault="00B66A66" w:rsidP="00747FED">
      <w:pPr>
        <w:jc w:val="both"/>
      </w:pPr>
      <w:r w:rsidRPr="00386E3F">
        <w:t xml:space="preserve">De Belastingdienst heeft een aantal ondersteunende voorzieningen ingericht om het aanleverproces van gegevensaanleveringen te faciliteren. Deze paragraaf beschrijft die voorzieningen. </w:t>
      </w:r>
    </w:p>
    <w:p w14:paraId="5B0F8937" w14:textId="77777777" w:rsidR="00B66A66" w:rsidRPr="00386E3F" w:rsidRDefault="00B66A66" w:rsidP="00747FED">
      <w:pPr>
        <w:widowControl w:val="0"/>
        <w:jc w:val="both"/>
      </w:pPr>
    </w:p>
    <w:p w14:paraId="7E0FF2FF" w14:textId="77777777" w:rsidR="00B66A66" w:rsidRPr="00386E3F" w:rsidRDefault="00B66A66" w:rsidP="00747FED">
      <w:pPr>
        <w:widowControl w:val="0"/>
        <w:jc w:val="both"/>
        <w:rPr>
          <w:i/>
        </w:rPr>
      </w:pPr>
      <w:r w:rsidRPr="00386E3F">
        <w:rPr>
          <w:i/>
        </w:rPr>
        <w:t>Handleiding</w:t>
      </w:r>
    </w:p>
    <w:p w14:paraId="44EA0FAE" w14:textId="003E4A37" w:rsidR="00B66A66" w:rsidRPr="00386E3F" w:rsidRDefault="00B66A66" w:rsidP="00747FED">
      <w:pPr>
        <w:widowControl w:val="0"/>
        <w:jc w:val="both"/>
      </w:pPr>
      <w:r w:rsidRPr="00386E3F">
        <w:t>De belangrijkste ondersteunende voorziening is misschien wel deze handleiding</w:t>
      </w:r>
      <w:r w:rsidR="00376FDD">
        <w:t xml:space="preserve"> tezamen met delen 2 &amp; 3</w:t>
      </w:r>
      <w:r w:rsidRPr="00386E3F">
        <w:t xml:space="preserve">. Suggesties ter verbetering of verduidelijking zijn welkom en kunnen worden gemeld bij het in paragraaf 7.2 </w:t>
      </w:r>
      <w:r w:rsidR="00B625EA">
        <w:t>genoemde</w:t>
      </w:r>
      <w:r w:rsidRPr="00386E3F">
        <w:t xml:space="preserve"> Contactcenter.</w:t>
      </w:r>
    </w:p>
    <w:p w14:paraId="6268678A" w14:textId="77777777" w:rsidR="00B66A66" w:rsidRPr="00386E3F" w:rsidRDefault="00B66A66" w:rsidP="00747FED">
      <w:pPr>
        <w:jc w:val="both"/>
      </w:pPr>
    </w:p>
    <w:p w14:paraId="5A591776" w14:textId="77777777" w:rsidR="00B66A66" w:rsidRPr="00386E3F" w:rsidRDefault="00B66A66" w:rsidP="00747FED">
      <w:pPr>
        <w:jc w:val="both"/>
        <w:rPr>
          <w:i/>
        </w:rPr>
      </w:pPr>
      <w:r w:rsidRPr="00386E3F">
        <w:rPr>
          <w:i/>
        </w:rPr>
        <w:t>Elektronisch berichtenverkeer</w:t>
      </w:r>
    </w:p>
    <w:p w14:paraId="26E5ED26" w14:textId="77777777" w:rsidR="00B66A66" w:rsidRPr="00386E3F" w:rsidRDefault="00B66A66" w:rsidP="00747FED">
      <w:pPr>
        <w:jc w:val="both"/>
      </w:pPr>
      <w:r w:rsidRPr="00386E3F">
        <w:t>De betreffende gegevens dienen via een beveiligde internetverbinding te worden aangeleverd, door middel van Elektronisch berichtenverkeer (EBV). Meer informatie hierover is te vinden in deel 2 van deze handleiding.</w:t>
      </w:r>
    </w:p>
    <w:p w14:paraId="5DC79821" w14:textId="77777777" w:rsidR="00B66A66" w:rsidRPr="00386E3F" w:rsidRDefault="00B66A66" w:rsidP="00747FED">
      <w:pPr>
        <w:jc w:val="both"/>
      </w:pPr>
    </w:p>
    <w:p w14:paraId="4D241536" w14:textId="77777777" w:rsidR="00B66A66" w:rsidRPr="00386E3F" w:rsidRDefault="00B66A66" w:rsidP="00747FED">
      <w:pPr>
        <w:jc w:val="both"/>
        <w:rPr>
          <w:i/>
        </w:rPr>
      </w:pPr>
      <w:r w:rsidRPr="00386E3F">
        <w:rPr>
          <w:i/>
        </w:rPr>
        <w:t>Testfaciliteit</w:t>
      </w:r>
    </w:p>
    <w:p w14:paraId="7C4E8FAE" w14:textId="733A22C6" w:rsidR="00B66A66" w:rsidRPr="00386E3F" w:rsidRDefault="00B66A66" w:rsidP="00747FED">
      <w:pPr>
        <w:jc w:val="both"/>
      </w:pPr>
      <w:r w:rsidRPr="00386E3F">
        <w:t xml:space="preserve">De Belastingdienst biedt de mogelijkheid om </w:t>
      </w:r>
      <w:r w:rsidR="005B7FF4">
        <w:t xml:space="preserve">testberichten te </w:t>
      </w:r>
      <w:r w:rsidRPr="00386E3F">
        <w:t xml:space="preserve">laten </w:t>
      </w:r>
      <w:r w:rsidR="005B7FF4">
        <w:t xml:space="preserve">valideren. Hiertoe wordt de Validatie Test Service (VTS) beschikbaar gesteld. </w:t>
      </w:r>
    </w:p>
    <w:p w14:paraId="6CEB08F5" w14:textId="77777777" w:rsidR="00B66A66" w:rsidRPr="00386E3F" w:rsidRDefault="00B66A66" w:rsidP="00747FED">
      <w:pPr>
        <w:jc w:val="both"/>
      </w:pPr>
    </w:p>
    <w:p w14:paraId="70607116" w14:textId="1EC3E14C" w:rsidR="005B7FF4" w:rsidRDefault="005B7FF4" w:rsidP="00747FED">
      <w:pPr>
        <w:jc w:val="both"/>
      </w:pPr>
      <w:r>
        <w:t xml:space="preserve">Voor technische vragen over de samenstelling van het XML-bericht voor </w:t>
      </w:r>
      <w:r w:rsidR="00D803BC">
        <w:t>het</w:t>
      </w:r>
      <w:r>
        <w:t xml:space="preserve"> CARF/ DAC8 kunt u contact opnemen met de servicedesk van ODB. Meer informatie vindt u op de website </w:t>
      </w:r>
      <w:hyperlink r:id="rId17" w:history="1">
        <w:r w:rsidRPr="00B707C8">
          <w:rPr>
            <w:rStyle w:val="Hyperlink"/>
          </w:rPr>
          <w:t>https://odb.belastingdienst.nl</w:t>
        </w:r>
      </w:hyperlink>
      <w:r>
        <w:t>.</w:t>
      </w:r>
    </w:p>
    <w:p w14:paraId="5693A540" w14:textId="77777777" w:rsidR="00B625EA" w:rsidRDefault="00B625EA" w:rsidP="00747FED">
      <w:pPr>
        <w:jc w:val="both"/>
      </w:pPr>
    </w:p>
    <w:p w14:paraId="57F6F7C9" w14:textId="065AF167" w:rsidR="00B625EA" w:rsidRPr="00386E3F" w:rsidRDefault="00B625EA" w:rsidP="00747FED">
      <w:pPr>
        <w:jc w:val="both"/>
      </w:pPr>
      <w:r>
        <w:t>Voor fiscaaltechnische vragen over DAC8 en CARF kunt u contact opneme</w:t>
      </w:r>
      <w:r w:rsidR="000A5C93">
        <w:t>n</w:t>
      </w:r>
      <w:r>
        <w:t xml:space="preserve"> met het team </w:t>
      </w:r>
      <w:r w:rsidR="00557BCF">
        <w:t>internationale</w:t>
      </w:r>
      <w:r>
        <w:t xml:space="preserve"> inlichtingenuitwisseling van de Directie Grote ondernemingen te Rotterdam. Stuur hiervoor uw vraag naar DAC8@belastingdienst.nl.</w:t>
      </w:r>
    </w:p>
    <w:p w14:paraId="683DD630" w14:textId="77777777" w:rsidR="005B7FF4" w:rsidRDefault="005B7FF4" w:rsidP="00747FED">
      <w:pPr>
        <w:widowControl w:val="0"/>
        <w:jc w:val="both"/>
        <w:rPr>
          <w:i/>
        </w:rPr>
      </w:pPr>
    </w:p>
    <w:p w14:paraId="60F885E0" w14:textId="41BF7023" w:rsidR="00B66A66" w:rsidRPr="00386E3F" w:rsidRDefault="00B66A66" w:rsidP="00747FED">
      <w:pPr>
        <w:widowControl w:val="0"/>
        <w:jc w:val="both"/>
        <w:rPr>
          <w:i/>
        </w:rPr>
      </w:pPr>
      <w:r w:rsidRPr="00386E3F">
        <w:rPr>
          <w:i/>
        </w:rPr>
        <w:t>Voortgangsbewaking</w:t>
      </w:r>
    </w:p>
    <w:p w14:paraId="3934C787" w14:textId="77777777" w:rsidR="00B66A66" w:rsidRPr="00386E3F" w:rsidRDefault="00B66A66" w:rsidP="00747FED">
      <w:pPr>
        <w:widowControl w:val="0"/>
        <w:jc w:val="both"/>
        <w:rPr>
          <w:color w:val="00B050"/>
        </w:rPr>
      </w:pPr>
      <w:r w:rsidRPr="00386E3F">
        <w:t>Zodra een gegevensaanlevering wordt gedaan, bewaakt de Belastingdienst de gegevens zodat deze zo snel en goed mogelijk in zijn administraties beschikbaar zijn. Bij problemen wordt contact opgenomen met de berichtgever.</w:t>
      </w:r>
    </w:p>
    <w:p w14:paraId="38D76820" w14:textId="77777777" w:rsidR="00B66A66" w:rsidRPr="00386E3F" w:rsidRDefault="00B66A66" w:rsidP="00B66A66">
      <w:pPr>
        <w:pStyle w:val="Kop2"/>
      </w:pPr>
      <w:bookmarkStart w:id="88" w:name="_Toc333225196"/>
      <w:bookmarkStart w:id="89" w:name="_Ref340065405"/>
      <w:bookmarkStart w:id="90" w:name="_Ref340065653"/>
      <w:bookmarkStart w:id="91" w:name="_Ref340065669"/>
      <w:bookmarkStart w:id="92" w:name="_Ref345578662"/>
      <w:bookmarkStart w:id="93" w:name="_Ref345578708"/>
      <w:bookmarkStart w:id="94" w:name="_Ref345578737"/>
      <w:bookmarkStart w:id="95" w:name="_Ref345578751"/>
      <w:bookmarkStart w:id="96" w:name="_Ref347923786"/>
      <w:bookmarkStart w:id="97" w:name="_Ref347923817"/>
      <w:bookmarkStart w:id="98" w:name="_Ref347924408"/>
      <w:bookmarkStart w:id="99" w:name="_Ref347924497"/>
      <w:bookmarkStart w:id="100" w:name="_Ref347924581"/>
      <w:bookmarkStart w:id="101" w:name="_Ref347925458"/>
      <w:bookmarkStart w:id="102" w:name="_Ref359320574"/>
      <w:bookmarkStart w:id="103" w:name="_Toc444590550"/>
      <w:bookmarkStart w:id="104" w:name="_Toc449610408"/>
      <w:bookmarkStart w:id="105" w:name="_Toc207732174"/>
      <w:r w:rsidRPr="00386E3F">
        <w:t>Contactmogelijkheden</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AC2648C" w14:textId="77777777" w:rsidR="00B66A66" w:rsidRPr="00386E3F" w:rsidRDefault="00B66A66" w:rsidP="00B66A66">
      <w:pPr>
        <w:rPr>
          <w:color w:val="00B050"/>
        </w:rPr>
      </w:pPr>
      <w:bookmarkStart w:id="106" w:name="_Toc333225197"/>
    </w:p>
    <w:bookmarkEnd w:id="106"/>
    <w:p w14:paraId="4E982F4B" w14:textId="50B8E1B2" w:rsidR="00D33E2D" w:rsidRDefault="00D33E2D" w:rsidP="00747FED">
      <w:pPr>
        <w:jc w:val="both"/>
      </w:pPr>
      <w:r>
        <w:t xml:space="preserve">Voor de eerstelijnsvragen over de aanlevering van </w:t>
      </w:r>
      <w:r w:rsidR="002B290F">
        <w:t xml:space="preserve">cryptogegevens </w:t>
      </w:r>
      <w:r>
        <w:t xml:space="preserve">heeft de Belastingdienst een Contactcenter ingericht. U kunt hier terecht wanneer u uw vraag specifiek op het gebied van gegevensuitwisseling niet met behulp van de handleiding kunt beantwoorden. </w:t>
      </w:r>
    </w:p>
    <w:p w14:paraId="7A612A41" w14:textId="77777777" w:rsidR="00747FED" w:rsidRDefault="00747FED" w:rsidP="00747FED">
      <w:pPr>
        <w:jc w:val="both"/>
      </w:pPr>
    </w:p>
    <w:p w14:paraId="3F5B2152" w14:textId="2D06EF7C" w:rsidR="00D33E2D" w:rsidRDefault="005B7FF4" w:rsidP="00747FED">
      <w:pPr>
        <w:jc w:val="both"/>
      </w:pPr>
      <w:r>
        <w:t>V</w:t>
      </w:r>
      <w:r w:rsidR="00D33E2D">
        <w:t>oor algemene vragen over wet- en regelgeving en de interpretatie daarvan</w:t>
      </w:r>
      <w:r>
        <w:t xml:space="preserve"> wordt u naar de regel verwezen naar uw eigen fiscaal adviseur. </w:t>
      </w:r>
      <w:r w:rsidR="00747FED">
        <w:t xml:space="preserve">Uw adviseur </w:t>
      </w:r>
      <w:r w:rsidR="00D33E2D">
        <w:t>is als geen ander in staat om de verbinding te leggen tussen fiscale kennis en uw eigen bedrijfsvoering.</w:t>
      </w:r>
    </w:p>
    <w:p w14:paraId="261A0ECC" w14:textId="5BCF3B51" w:rsidR="00D33E2D" w:rsidRDefault="00D33E2D" w:rsidP="00747FED">
      <w:pPr>
        <w:jc w:val="both"/>
      </w:pPr>
      <w:r>
        <w:t xml:space="preserve">Ook (fiscaal) adviseurs kunnen vragen stellen aan het Contactcenter. Een vraag zal alleen in behandeling worden genomen wanneer het een concreet probleem betreft aangaande de aanlevering van gegevens van een specifieke </w:t>
      </w:r>
      <w:proofErr w:type="spellStart"/>
      <w:r w:rsidR="005A60D3">
        <w:t>cryptoactivadienstverlener</w:t>
      </w:r>
      <w:proofErr w:type="spellEnd"/>
      <w:r w:rsidR="005A60D3">
        <w:t>. D</w:t>
      </w:r>
      <w:r>
        <w:t xml:space="preserve">e adviseur zal in de vraagstelling duidelijk dienen op te nemen namens welke </w:t>
      </w:r>
      <w:proofErr w:type="spellStart"/>
      <w:r w:rsidR="005A60D3">
        <w:t>cryptoactivadienstverlener</w:t>
      </w:r>
      <w:proofErr w:type="spellEnd"/>
      <w:r>
        <w:t xml:space="preserve"> hij de vraag stelt en wie de contactpersoon is bij die instelling.</w:t>
      </w:r>
    </w:p>
    <w:p w14:paraId="6E4E2698" w14:textId="77777777" w:rsidR="00747FED" w:rsidRDefault="00747FED" w:rsidP="00747FED">
      <w:pPr>
        <w:jc w:val="both"/>
      </w:pPr>
    </w:p>
    <w:p w14:paraId="50B670F0" w14:textId="63EF4C47" w:rsidR="00D33E2D" w:rsidRDefault="00D33E2D" w:rsidP="00747FED">
      <w:pPr>
        <w:jc w:val="both"/>
      </w:pPr>
      <w:r>
        <w:t>Het Contactcenter is telefonisch en per e-mail te bereiken.</w:t>
      </w:r>
    </w:p>
    <w:p w14:paraId="0217964F" w14:textId="77777777" w:rsidR="00D33E2D" w:rsidRDefault="00D33E2D" w:rsidP="00747FED">
      <w:pPr>
        <w:jc w:val="both"/>
      </w:pPr>
      <w:r>
        <w:t xml:space="preserve">Telefoon: 0800 - 0227065 op werkdagen bereikbaar van 09:00 tot 16:00 uur. </w:t>
      </w:r>
    </w:p>
    <w:p w14:paraId="5DEE167C" w14:textId="77777777" w:rsidR="00D33E2D" w:rsidRDefault="00D33E2D" w:rsidP="00747FED">
      <w:pPr>
        <w:jc w:val="both"/>
        <w:rPr>
          <w:lang w:val="pt-BR"/>
        </w:rPr>
      </w:pPr>
      <w:r>
        <w:rPr>
          <w:lang w:val="pt-BR"/>
        </w:rPr>
        <w:t>E-mail: gegevensuitwisseling@belastingdienst.nl</w:t>
      </w:r>
    </w:p>
    <w:p w14:paraId="11E17F53" w14:textId="77777777" w:rsidR="00D33E2D" w:rsidRDefault="00D33E2D" w:rsidP="00747FED">
      <w:pPr>
        <w:widowControl w:val="0"/>
        <w:jc w:val="both"/>
        <w:rPr>
          <w:i/>
          <w:lang w:val="en-GB"/>
        </w:rPr>
      </w:pPr>
    </w:p>
    <w:p w14:paraId="12DE4954" w14:textId="12D0630E" w:rsidR="00D33E2D" w:rsidRDefault="00D33E2D" w:rsidP="00D33E2D">
      <w:pPr>
        <w:widowControl w:val="0"/>
        <w:rPr>
          <w:i/>
          <w:lang w:val="en-GB"/>
        </w:rPr>
      </w:pPr>
      <w:r>
        <w:rPr>
          <w:i/>
          <w:lang w:val="en-GB"/>
        </w:rPr>
        <w:t>Account</w:t>
      </w:r>
      <w:r w:rsidR="00521B1B">
        <w:rPr>
          <w:i/>
          <w:lang w:val="en-GB"/>
        </w:rPr>
        <w:t xml:space="preserve"> </w:t>
      </w:r>
      <w:r>
        <w:rPr>
          <w:i/>
          <w:lang w:val="en-GB"/>
        </w:rPr>
        <w:t>managers</w:t>
      </w:r>
    </w:p>
    <w:p w14:paraId="1984C25A" w14:textId="5F553957" w:rsidR="00D33E2D" w:rsidRDefault="00D33E2D" w:rsidP="00EE41C3">
      <w:pPr>
        <w:jc w:val="both"/>
        <w:rPr>
          <w:iCs/>
        </w:rPr>
      </w:pPr>
      <w:r>
        <w:t>Naast de inrichting van het Contactcenter heeft de Belastingdienst speciaal voor de gegevensuitwisseling account</w:t>
      </w:r>
      <w:r w:rsidR="00521B1B">
        <w:t xml:space="preserve"> </w:t>
      </w:r>
      <w:r>
        <w:t xml:space="preserve">managers aangesteld. Zij kunnen u tijdig informeren </w:t>
      </w:r>
      <w:r>
        <w:lastRenderedPageBreak/>
        <w:t>over nieuwe ontwikkelingen en eisen, zodat uw organisatie zich daarop kan voorbereiden. Op uw verzoek kan een accountmanager u bezoeken om problemen te bespreken en om zaken toe te lichten. Als er in de verwerkingsprocessen onjuistheden of fouten zijn geconstateerd, dan kan de accountmanager contact met u opnemen om dit te bespreken en te verbeteren. U kunt hier natuurlijk ook terecht wanneer u zelf procesvragen tegenkomt die u niet met behulp van de handleiding of het Contactcenter kunt beantwoorden.</w:t>
      </w:r>
    </w:p>
    <w:p w14:paraId="1520AC1F" w14:textId="77777777" w:rsidR="00B66A66" w:rsidRPr="00386E3F" w:rsidRDefault="00B66A66" w:rsidP="00B66A66"/>
    <w:p w14:paraId="2177E84C" w14:textId="4D0CA711" w:rsidR="00B66A66" w:rsidRPr="00386E3F" w:rsidRDefault="005B7FF4" w:rsidP="00B66A66">
      <w:pPr>
        <w:rPr>
          <w:i/>
        </w:rPr>
      </w:pPr>
      <w:r>
        <w:rPr>
          <w:i/>
        </w:rPr>
        <w:t>Ondersteuning Digitaal Berichtenverkeer-ODB Website</w:t>
      </w:r>
    </w:p>
    <w:p w14:paraId="10176695" w14:textId="77777777" w:rsidR="00AE00D0" w:rsidRPr="00386E3F" w:rsidRDefault="00AE00D0" w:rsidP="00B66A66">
      <w:pPr>
        <w:rPr>
          <w:i/>
        </w:rPr>
      </w:pPr>
    </w:p>
    <w:p w14:paraId="6CC713BB" w14:textId="6DFAD649" w:rsidR="00B66A66" w:rsidRPr="00386E3F" w:rsidRDefault="00B66A66" w:rsidP="00B66A66">
      <w:r w:rsidRPr="00386E3F">
        <w:t xml:space="preserve">De Belastingdienst heeft tevens een </w:t>
      </w:r>
      <w:r w:rsidR="005B7FF4">
        <w:t xml:space="preserve">website </w:t>
      </w:r>
      <w:r w:rsidRPr="00386E3F">
        <w:t xml:space="preserve">ontwikkeld waar informatie voorhanden is en waar vragen kunnen worden gesteld op het gebied van gegevensuitwisseling. </w:t>
      </w:r>
    </w:p>
    <w:p w14:paraId="2C4CD037" w14:textId="77777777" w:rsidR="00B66A66" w:rsidRPr="00386E3F" w:rsidRDefault="00B66A66" w:rsidP="00B66A66"/>
    <w:p w14:paraId="19DC9B62" w14:textId="4AC1EA00" w:rsidR="00B66A66" w:rsidRPr="00386E3F" w:rsidRDefault="00B66A66" w:rsidP="00B66A66">
      <w:r w:rsidRPr="00386E3F">
        <w:t xml:space="preserve">Deze </w:t>
      </w:r>
      <w:r w:rsidR="005B7FF4">
        <w:t>website</w:t>
      </w:r>
      <w:r w:rsidRPr="00386E3F">
        <w:t xml:space="preserve"> is te benaderen via het internetadres </w:t>
      </w:r>
      <w:r w:rsidRPr="00B83A18">
        <w:rPr>
          <w:u w:val="single"/>
        </w:rPr>
        <w:t>odb.belastingdienst.nl</w:t>
      </w:r>
      <w:r w:rsidRPr="00386E3F">
        <w:t>.</w:t>
      </w:r>
      <w:r w:rsidR="008A382F" w:rsidRPr="00386E3F">
        <w:t xml:space="preserve"> </w:t>
      </w:r>
      <w:r w:rsidRPr="00386E3F">
        <w:t>De laatste documentatie kan worden gedownload, waaronder deze handleiding. Aanmelden voor de</w:t>
      </w:r>
      <w:r w:rsidR="008858A2">
        <w:t xml:space="preserve">ze website </w:t>
      </w:r>
      <w:r w:rsidRPr="00386E3F">
        <w:t xml:space="preserve">kan door de op </w:t>
      </w:r>
      <w:r w:rsidR="008858A2">
        <w:t xml:space="preserve">de </w:t>
      </w:r>
      <w:r w:rsidRPr="00B83A18">
        <w:rPr>
          <w:u w:val="single"/>
        </w:rPr>
        <w:t>odb.belastingdienst.nl</w:t>
      </w:r>
      <w:r w:rsidR="00A1777A" w:rsidRPr="00386E3F">
        <w:t xml:space="preserve"> </w:t>
      </w:r>
      <w:r w:rsidRPr="00386E3F">
        <w:t>vermelde procedure te volgen.</w:t>
      </w:r>
    </w:p>
    <w:p w14:paraId="3F41CA6E" w14:textId="77777777" w:rsidR="00F91C79" w:rsidRPr="00386E3F" w:rsidRDefault="00F91C79">
      <w:pPr>
        <w:rPr>
          <w:color w:val="00B050"/>
          <w:highlight w:val="yellow"/>
        </w:rPr>
      </w:pPr>
    </w:p>
    <w:p w14:paraId="59FFB0E8" w14:textId="77777777" w:rsidR="004A2797" w:rsidRPr="00386E3F" w:rsidRDefault="004A2797" w:rsidP="002D412F">
      <w:pPr>
        <w:rPr>
          <w:color w:val="00B050"/>
          <w:highlight w:val="yellow"/>
        </w:rPr>
      </w:pPr>
      <w:r w:rsidRPr="00386E3F">
        <w:rPr>
          <w:highlight w:val="yellow"/>
        </w:rPr>
        <w:br w:type="page"/>
      </w:r>
    </w:p>
    <w:p w14:paraId="179E8119" w14:textId="0B68C64B" w:rsidR="00BE6434" w:rsidRDefault="00BE6434" w:rsidP="00BE6434">
      <w:pPr>
        <w:pStyle w:val="Kop1"/>
        <w:numPr>
          <w:ilvl w:val="0"/>
          <w:numId w:val="0"/>
        </w:numPr>
      </w:pPr>
      <w:bookmarkStart w:id="107" w:name="_Toc207732175"/>
      <w:bookmarkStart w:id="108" w:name="_Ref334177060"/>
      <w:bookmarkStart w:id="109" w:name="_Ref334177170"/>
      <w:bookmarkStart w:id="110" w:name="_Ref334177183"/>
      <w:bookmarkStart w:id="111" w:name="_Ref334183652"/>
      <w:bookmarkStart w:id="112" w:name="_Ref334184312"/>
      <w:bookmarkStart w:id="113" w:name="_Toc444590551"/>
      <w:bookmarkStart w:id="114" w:name="_Toc449610409"/>
      <w:bookmarkStart w:id="115" w:name="_Toc529440423"/>
      <w:r>
        <w:lastRenderedPageBreak/>
        <w:t>Bijlage 1</w:t>
      </w:r>
      <w:r w:rsidR="00E26377">
        <w:t xml:space="preserve"> “Wet implementatie EU-Richtlijn gegevensuitwisseling cryptoactiva”</w:t>
      </w:r>
      <w:bookmarkEnd w:id="107"/>
    </w:p>
    <w:p w14:paraId="0C4E1BAA" w14:textId="02B6C5BF" w:rsidR="00E26377" w:rsidRPr="00E26377" w:rsidRDefault="00E26377" w:rsidP="00E26377">
      <w:r>
        <w:t xml:space="preserve">Hieronder volgen de meest relevante wetteksten uit de WIB en AWR. </w:t>
      </w:r>
    </w:p>
    <w:p w14:paraId="27BFE014" w14:textId="77777777" w:rsidR="00BE6434" w:rsidRDefault="00BE6434" w:rsidP="00BE6434"/>
    <w:p w14:paraId="5C00C322" w14:textId="77777777" w:rsidR="00BE6434" w:rsidRDefault="00BE6434" w:rsidP="00BE6434">
      <w:pPr>
        <w:autoSpaceDE w:val="0"/>
        <w:autoSpaceDN w:val="0"/>
        <w:adjustRightInd w:val="0"/>
        <w:rPr>
          <w:rFonts w:ascii="Verdana-Bold" w:hAnsi="Verdana-Bold" w:cs="Verdana-Bold"/>
          <w:b/>
          <w:bCs/>
          <w:szCs w:val="18"/>
        </w:rPr>
      </w:pPr>
      <w:r>
        <w:rPr>
          <w:rFonts w:ascii="Verdana-Bold" w:hAnsi="Verdana-Bold" w:cs="Verdana-Bold"/>
          <w:b/>
          <w:bCs/>
          <w:szCs w:val="18"/>
        </w:rPr>
        <w:t>AFDELING 4ACA. VERPLICHTINGEN TEN BEHOEVE VAN DE VERZAMELING EN VERIFICATIE VAN INLICHTINGEN OVER GEBRUIKERS DOOR RAPPORTERENDE AANBIEDERS VAN CRYPTOACTIVADIENSTEN EN DE RAPPORTAGE DAARVAN</w:t>
      </w:r>
    </w:p>
    <w:p w14:paraId="244ACB71" w14:textId="77777777" w:rsidR="00BE6434" w:rsidRDefault="00BE6434" w:rsidP="00BE6434">
      <w:pPr>
        <w:autoSpaceDE w:val="0"/>
        <w:autoSpaceDN w:val="0"/>
        <w:adjustRightInd w:val="0"/>
        <w:rPr>
          <w:rFonts w:ascii="Verdana-Bold" w:hAnsi="Verdana-Bold" w:cs="Verdana-Bold"/>
          <w:b/>
          <w:bCs/>
          <w:szCs w:val="18"/>
        </w:rPr>
      </w:pPr>
    </w:p>
    <w:p w14:paraId="646B6A97" w14:textId="77777777" w:rsidR="00BE6434" w:rsidRDefault="00BE6434" w:rsidP="00BE6434">
      <w:pPr>
        <w:autoSpaceDE w:val="0"/>
        <w:autoSpaceDN w:val="0"/>
        <w:adjustRightInd w:val="0"/>
        <w:rPr>
          <w:rFonts w:ascii="Verdana-Bold" w:hAnsi="Verdana-Bold" w:cs="Verdana-Bold"/>
          <w:b/>
          <w:bCs/>
          <w:szCs w:val="18"/>
        </w:rPr>
      </w:pPr>
      <w:r>
        <w:rPr>
          <w:rFonts w:ascii="Verdana-Bold" w:hAnsi="Verdana-Bold" w:cs="Verdana-Bold"/>
          <w:b/>
          <w:bCs/>
          <w:szCs w:val="18"/>
        </w:rPr>
        <w:t>Artikel 10oa</w:t>
      </w:r>
    </w:p>
    <w:p w14:paraId="07E51A12" w14:textId="77777777" w:rsidR="00BE6434" w:rsidRDefault="00BE6434" w:rsidP="00BE6434">
      <w:pPr>
        <w:autoSpaceDE w:val="0"/>
        <w:autoSpaceDN w:val="0"/>
        <w:adjustRightInd w:val="0"/>
        <w:rPr>
          <w:rFonts w:cs="Verdana"/>
          <w:szCs w:val="18"/>
        </w:rPr>
      </w:pPr>
      <w:r>
        <w:rPr>
          <w:rFonts w:cs="Verdana"/>
          <w:szCs w:val="18"/>
        </w:rPr>
        <w:t>Bij of krachtens algemene maatregel van bestuur worden verzamel- en verificatievereisten gesteld aan rapporterende aanbieders van cryptoactivadiensten als bedoeld in de artikelen 10ob, eerste en tweede lid, en 10od, vierde lid, met het oog op het door die aanbieders van cryptoactivadiensten rapporteren van gegevens en inlichtingen als bedoeld in de artikelen 10ob en 10od, alsmede regels</w:t>
      </w:r>
    </w:p>
    <w:p w14:paraId="7B25D7A3" w14:textId="77777777" w:rsidR="00BE6434" w:rsidRDefault="00BE6434" w:rsidP="00BE6434">
      <w:pPr>
        <w:autoSpaceDE w:val="0"/>
        <w:autoSpaceDN w:val="0"/>
        <w:adjustRightInd w:val="0"/>
        <w:rPr>
          <w:rFonts w:cs="Verdana"/>
          <w:szCs w:val="18"/>
        </w:rPr>
      </w:pPr>
      <w:r>
        <w:rPr>
          <w:rFonts w:cs="Verdana"/>
          <w:szCs w:val="18"/>
        </w:rPr>
        <w:t>met betrekking tot de wijze waarop die gegevens en inlichtingen aan Onze Minister worden verstrekt.</w:t>
      </w:r>
    </w:p>
    <w:p w14:paraId="75CE83C5" w14:textId="77777777" w:rsidR="00BE6434" w:rsidRDefault="00BE6434" w:rsidP="00BE6434">
      <w:pPr>
        <w:autoSpaceDE w:val="0"/>
        <w:autoSpaceDN w:val="0"/>
        <w:adjustRightInd w:val="0"/>
        <w:rPr>
          <w:rFonts w:ascii="Verdana-Bold" w:hAnsi="Verdana-Bold" w:cs="Verdana-Bold"/>
          <w:b/>
          <w:bCs/>
          <w:szCs w:val="18"/>
        </w:rPr>
      </w:pPr>
      <w:r>
        <w:rPr>
          <w:rFonts w:ascii="Verdana-Bold" w:hAnsi="Verdana-Bold" w:cs="Verdana-Bold"/>
          <w:b/>
          <w:bCs/>
          <w:szCs w:val="18"/>
        </w:rPr>
        <w:t>Artikel 10ob</w:t>
      </w:r>
    </w:p>
    <w:p w14:paraId="0EA20AA4" w14:textId="77777777" w:rsidR="00BE6434" w:rsidRDefault="00BE6434" w:rsidP="00BE6434">
      <w:pPr>
        <w:autoSpaceDE w:val="0"/>
        <w:autoSpaceDN w:val="0"/>
        <w:adjustRightInd w:val="0"/>
        <w:rPr>
          <w:rFonts w:cs="Verdana"/>
          <w:szCs w:val="18"/>
        </w:rPr>
      </w:pPr>
      <w:r>
        <w:rPr>
          <w:rFonts w:cs="Verdana"/>
          <w:szCs w:val="18"/>
        </w:rPr>
        <w:t>1. Een rapporterende aanbieder van cryptoactivadiensten rapporteert aan Onze Minister de gegevens en inlichtingen, bedoeld in het derde tot en met het vijfde lid, indien hij</w:t>
      </w:r>
    </w:p>
    <w:p w14:paraId="797EE29B" w14:textId="77777777" w:rsidR="00BE6434" w:rsidRDefault="00BE6434" w:rsidP="00BE6434">
      <w:pPr>
        <w:autoSpaceDE w:val="0"/>
        <w:autoSpaceDN w:val="0"/>
        <w:adjustRightInd w:val="0"/>
        <w:rPr>
          <w:rFonts w:cs="Verdana"/>
          <w:szCs w:val="18"/>
        </w:rPr>
      </w:pPr>
      <w:r>
        <w:rPr>
          <w:rFonts w:cs="Verdana"/>
          <w:szCs w:val="18"/>
        </w:rPr>
        <w:t>a. een entiteit is waaraan door de Autoriteit Financiële Markten overeenkomstig artikel 63 van Verordening (EU) 2023/1114 een vergunning is verleend voor het verlenen van cryptoactivadiensten of die na een notificatie aan de Autoriteit Financiële Markten overeenkomstig artikel 60 van Verordening (EU) 2023/1114 cryptoactivadiensten mag</w:t>
      </w:r>
    </w:p>
    <w:p w14:paraId="13C85AE2" w14:textId="77777777" w:rsidR="00BE6434" w:rsidRDefault="00BE6434" w:rsidP="00BE6434">
      <w:pPr>
        <w:autoSpaceDE w:val="0"/>
        <w:autoSpaceDN w:val="0"/>
        <w:adjustRightInd w:val="0"/>
        <w:rPr>
          <w:rFonts w:cs="Verdana"/>
          <w:szCs w:val="18"/>
        </w:rPr>
      </w:pPr>
      <w:r>
        <w:rPr>
          <w:rFonts w:cs="Verdana"/>
          <w:szCs w:val="18"/>
        </w:rPr>
        <w:t>verlenen; of</w:t>
      </w:r>
    </w:p>
    <w:p w14:paraId="08534C46" w14:textId="77777777" w:rsidR="00BE6434" w:rsidRDefault="00BE6434" w:rsidP="00BE6434">
      <w:pPr>
        <w:autoSpaceDE w:val="0"/>
        <w:autoSpaceDN w:val="0"/>
        <w:adjustRightInd w:val="0"/>
        <w:rPr>
          <w:rFonts w:cs="Verdana"/>
          <w:szCs w:val="18"/>
        </w:rPr>
      </w:pPr>
      <w:r>
        <w:rPr>
          <w:rFonts w:cs="Verdana"/>
          <w:szCs w:val="18"/>
        </w:rPr>
        <w:t>b. geen entiteit is als bedoeld onder a, en die</w:t>
      </w:r>
    </w:p>
    <w:p w14:paraId="7EA1C76F" w14:textId="77777777" w:rsidR="00BE6434" w:rsidRDefault="00BE6434" w:rsidP="00BE6434">
      <w:pPr>
        <w:autoSpaceDE w:val="0"/>
        <w:autoSpaceDN w:val="0"/>
        <w:adjustRightInd w:val="0"/>
        <w:rPr>
          <w:rFonts w:cs="Verdana"/>
          <w:szCs w:val="18"/>
        </w:rPr>
      </w:pPr>
      <w:r>
        <w:rPr>
          <w:rFonts w:cs="Verdana"/>
          <w:szCs w:val="18"/>
        </w:rPr>
        <w:t>1°. Een entiteit of een natuurlijk persoon is die een fiscaal ingezetene van</w:t>
      </w:r>
    </w:p>
    <w:p w14:paraId="1F6CDB65" w14:textId="77777777" w:rsidR="00BE6434" w:rsidRDefault="00BE6434" w:rsidP="00BE6434">
      <w:pPr>
        <w:autoSpaceDE w:val="0"/>
        <w:autoSpaceDN w:val="0"/>
        <w:adjustRightInd w:val="0"/>
        <w:rPr>
          <w:rFonts w:cs="Verdana"/>
          <w:szCs w:val="18"/>
        </w:rPr>
      </w:pPr>
      <w:r>
        <w:rPr>
          <w:rFonts w:cs="Verdana"/>
          <w:szCs w:val="18"/>
        </w:rPr>
        <w:t>Nederland is;</w:t>
      </w:r>
    </w:p>
    <w:p w14:paraId="2E298517" w14:textId="77777777" w:rsidR="00BE6434" w:rsidRDefault="00BE6434" w:rsidP="00BE6434">
      <w:pPr>
        <w:autoSpaceDE w:val="0"/>
        <w:autoSpaceDN w:val="0"/>
        <w:adjustRightInd w:val="0"/>
        <w:rPr>
          <w:rFonts w:cs="Verdana"/>
          <w:szCs w:val="18"/>
        </w:rPr>
      </w:pPr>
      <w:r>
        <w:rPr>
          <w:rFonts w:cs="Verdana"/>
          <w:szCs w:val="18"/>
        </w:rPr>
        <w:t>2°. Een entiteit is die</w:t>
      </w:r>
    </w:p>
    <w:p w14:paraId="09E37D34" w14:textId="77777777" w:rsidR="00BE6434" w:rsidRDefault="00BE6434" w:rsidP="00BE6434">
      <w:pPr>
        <w:autoSpaceDE w:val="0"/>
        <w:autoSpaceDN w:val="0"/>
        <w:adjustRightInd w:val="0"/>
        <w:rPr>
          <w:rFonts w:cs="Verdana"/>
          <w:szCs w:val="18"/>
        </w:rPr>
      </w:pPr>
      <w:r>
        <w:rPr>
          <w:rFonts w:cs="Verdana"/>
          <w:szCs w:val="18"/>
        </w:rPr>
        <w:t>i. is opgericht of georganiseerd naar Nederlands recht; en</w:t>
      </w:r>
    </w:p>
    <w:p w14:paraId="7746F00E" w14:textId="77777777" w:rsidR="00BE6434" w:rsidRDefault="00BE6434" w:rsidP="00BE6434">
      <w:pPr>
        <w:autoSpaceDE w:val="0"/>
        <w:autoSpaceDN w:val="0"/>
        <w:adjustRightInd w:val="0"/>
        <w:rPr>
          <w:rFonts w:cs="Verdana"/>
          <w:szCs w:val="18"/>
        </w:rPr>
      </w:pPr>
      <w:r>
        <w:rPr>
          <w:rFonts w:cs="Verdana"/>
          <w:szCs w:val="18"/>
        </w:rPr>
        <w:t>ii. rechtspersoonlijkheid heeft in Nederland of verplicht is bij de</w:t>
      </w:r>
    </w:p>
    <w:p w14:paraId="777443D1" w14:textId="77777777" w:rsidR="00BE6434" w:rsidRDefault="00BE6434" w:rsidP="00BE6434">
      <w:pPr>
        <w:autoSpaceDE w:val="0"/>
        <w:autoSpaceDN w:val="0"/>
        <w:adjustRightInd w:val="0"/>
        <w:rPr>
          <w:rFonts w:cs="Verdana"/>
          <w:szCs w:val="18"/>
        </w:rPr>
      </w:pPr>
      <w:r>
        <w:rPr>
          <w:rFonts w:cs="Verdana"/>
          <w:szCs w:val="18"/>
        </w:rPr>
        <w:t>rijksbelastingdienst belastingaangiften de doen of aangiften met fiscale</w:t>
      </w:r>
    </w:p>
    <w:p w14:paraId="425A9725" w14:textId="77777777" w:rsidR="00BE6434" w:rsidRDefault="00BE6434" w:rsidP="00BE6434">
      <w:pPr>
        <w:autoSpaceDE w:val="0"/>
        <w:autoSpaceDN w:val="0"/>
        <w:adjustRightInd w:val="0"/>
        <w:rPr>
          <w:rFonts w:cs="Verdana"/>
          <w:szCs w:val="18"/>
        </w:rPr>
      </w:pPr>
      <w:r>
        <w:rPr>
          <w:rFonts w:cs="Verdana"/>
          <w:szCs w:val="18"/>
        </w:rPr>
        <w:t>inlichtingen in te dienen met betrekking tot de inkomsten van de entiteit;</w:t>
      </w:r>
    </w:p>
    <w:p w14:paraId="286547C6" w14:textId="77777777" w:rsidR="00BE6434" w:rsidRDefault="00BE6434" w:rsidP="00BE6434">
      <w:pPr>
        <w:autoSpaceDE w:val="0"/>
        <w:autoSpaceDN w:val="0"/>
        <w:adjustRightInd w:val="0"/>
        <w:rPr>
          <w:rFonts w:cs="Verdana"/>
          <w:szCs w:val="18"/>
        </w:rPr>
      </w:pPr>
      <w:r>
        <w:rPr>
          <w:rFonts w:cs="Verdana"/>
          <w:szCs w:val="18"/>
        </w:rPr>
        <w:t>3°. Een entiteit is die vanuit Nederland wordt beheerd; of</w:t>
      </w:r>
    </w:p>
    <w:p w14:paraId="507F4EE5" w14:textId="77777777" w:rsidR="00BE6434" w:rsidRDefault="00BE6434" w:rsidP="00BE6434">
      <w:pPr>
        <w:autoSpaceDE w:val="0"/>
        <w:autoSpaceDN w:val="0"/>
        <w:adjustRightInd w:val="0"/>
        <w:rPr>
          <w:rFonts w:cs="Verdana"/>
          <w:szCs w:val="18"/>
        </w:rPr>
      </w:pPr>
      <w:r>
        <w:rPr>
          <w:rFonts w:cs="Verdana"/>
          <w:szCs w:val="18"/>
        </w:rPr>
        <w:t>4°. Een entiteit of natuurlijke persoon is met een reguliere bedrijfszetel in</w:t>
      </w:r>
    </w:p>
    <w:p w14:paraId="3F028A79" w14:textId="77777777" w:rsidR="00BE6434" w:rsidRDefault="00BE6434" w:rsidP="00BE6434">
      <w:pPr>
        <w:autoSpaceDE w:val="0"/>
        <w:autoSpaceDN w:val="0"/>
        <w:adjustRightInd w:val="0"/>
        <w:rPr>
          <w:rFonts w:cs="Verdana"/>
          <w:szCs w:val="18"/>
        </w:rPr>
      </w:pPr>
      <w:r>
        <w:rPr>
          <w:rFonts w:cs="Verdana"/>
          <w:szCs w:val="18"/>
        </w:rPr>
        <w:t>Nederland.</w:t>
      </w:r>
    </w:p>
    <w:p w14:paraId="5F871148" w14:textId="77777777" w:rsidR="00BE6434" w:rsidRDefault="00BE6434" w:rsidP="00BE6434">
      <w:pPr>
        <w:autoSpaceDE w:val="0"/>
        <w:autoSpaceDN w:val="0"/>
        <w:adjustRightInd w:val="0"/>
        <w:rPr>
          <w:rFonts w:cs="Verdana"/>
          <w:szCs w:val="18"/>
        </w:rPr>
      </w:pPr>
      <w:r>
        <w:rPr>
          <w:rFonts w:cs="Verdana"/>
          <w:szCs w:val="18"/>
        </w:rPr>
        <w:t>2. Een rapporterende aanbieder van cryptoactivadiensten die een rapportageplicht heeft in een andere lidstaat rapporteert aan Onze Minister de gegevens en inlichtingen, bedoeld in het derde lid tot en met het vijfde lid, met betrekking tot de te rapporteren transacties die zijn uitgevoerd via een bijkantoor in Nederland.</w:t>
      </w:r>
    </w:p>
    <w:p w14:paraId="5BAEE261" w14:textId="77777777" w:rsidR="00BE6434" w:rsidRDefault="00BE6434" w:rsidP="00BE6434">
      <w:pPr>
        <w:autoSpaceDE w:val="0"/>
        <w:autoSpaceDN w:val="0"/>
        <w:adjustRightInd w:val="0"/>
        <w:rPr>
          <w:rFonts w:cs="Verdana"/>
          <w:szCs w:val="18"/>
        </w:rPr>
      </w:pPr>
      <w:r>
        <w:rPr>
          <w:rFonts w:cs="Verdana"/>
          <w:szCs w:val="18"/>
        </w:rPr>
        <w:t>3. De rapporterende aanbieder van cryptoactivadiensten rapporteert zijn naam, adres, fiscaal identificatienummer en, indien beschikbaar, het individuele identificatienummer dat op grond van artikel 10od, vierde lid, aan hem is toegekend en de mondiale identificatiecode voor juridische entiteiten.</w:t>
      </w:r>
    </w:p>
    <w:p w14:paraId="5F2F7A4E" w14:textId="77777777" w:rsidR="00BE6434" w:rsidRDefault="00BE6434" w:rsidP="00BE6434">
      <w:pPr>
        <w:autoSpaceDE w:val="0"/>
        <w:autoSpaceDN w:val="0"/>
        <w:adjustRightInd w:val="0"/>
        <w:rPr>
          <w:rFonts w:cs="Verdana"/>
          <w:szCs w:val="18"/>
        </w:rPr>
      </w:pPr>
      <w:r>
        <w:rPr>
          <w:rFonts w:cs="Verdana"/>
          <w:szCs w:val="18"/>
        </w:rPr>
        <w:t>4. De rapporterende aanbieder van cryptoactivadiensten rapporteert de volgende gegevens en inlichtingen met betrekking tot elke gebruiker van cryptoactiva die te rapporteren gebruiker is of te rapporteren personen als uiteindelijk belanghebbenden heeft:</w:t>
      </w:r>
    </w:p>
    <w:p w14:paraId="3B73DEB9" w14:textId="77777777" w:rsidR="00BE6434" w:rsidRDefault="00BE6434" w:rsidP="00BE6434">
      <w:pPr>
        <w:autoSpaceDE w:val="0"/>
        <w:autoSpaceDN w:val="0"/>
        <w:adjustRightInd w:val="0"/>
        <w:rPr>
          <w:rFonts w:cs="Verdana"/>
          <w:szCs w:val="18"/>
        </w:rPr>
      </w:pPr>
      <w:r>
        <w:rPr>
          <w:rFonts w:cs="Verdana"/>
          <w:szCs w:val="18"/>
        </w:rPr>
        <w:t>a. de gegevens en inlichtingen die de rapporterende aanbieder van cryptoactivadiensten</w:t>
      </w:r>
    </w:p>
    <w:p w14:paraId="6734379F" w14:textId="77777777" w:rsidR="00BE6434" w:rsidRDefault="00BE6434" w:rsidP="00BE6434">
      <w:pPr>
        <w:autoSpaceDE w:val="0"/>
        <w:autoSpaceDN w:val="0"/>
        <w:adjustRightInd w:val="0"/>
        <w:rPr>
          <w:rFonts w:cs="Verdana"/>
          <w:szCs w:val="18"/>
        </w:rPr>
      </w:pPr>
      <w:r>
        <w:rPr>
          <w:rFonts w:cs="Verdana"/>
          <w:szCs w:val="18"/>
        </w:rPr>
        <w:t>krachtens artikel 10oa van de wet dient te verzamelen en te verifiëren;</w:t>
      </w:r>
    </w:p>
    <w:p w14:paraId="5946B57D" w14:textId="77777777" w:rsidR="00BE6434" w:rsidRDefault="00BE6434" w:rsidP="00BE6434">
      <w:pPr>
        <w:autoSpaceDE w:val="0"/>
        <w:autoSpaceDN w:val="0"/>
        <w:adjustRightInd w:val="0"/>
        <w:rPr>
          <w:rFonts w:cs="Verdana"/>
          <w:szCs w:val="18"/>
        </w:rPr>
      </w:pPr>
      <w:r>
        <w:rPr>
          <w:rFonts w:cs="Verdana"/>
          <w:szCs w:val="18"/>
        </w:rPr>
        <w:t>b. voor elk soort te rapporteren cryptoactivum dat deel uitmaakt van door de</w:t>
      </w:r>
    </w:p>
    <w:p w14:paraId="08AD5760" w14:textId="77777777" w:rsidR="00BE6434" w:rsidRDefault="00BE6434" w:rsidP="00BE6434">
      <w:pPr>
        <w:autoSpaceDE w:val="0"/>
        <w:autoSpaceDN w:val="0"/>
        <w:adjustRightInd w:val="0"/>
        <w:rPr>
          <w:rFonts w:cs="Verdana"/>
          <w:szCs w:val="18"/>
        </w:rPr>
      </w:pPr>
      <w:r>
        <w:rPr>
          <w:rFonts w:cs="Verdana"/>
          <w:szCs w:val="18"/>
        </w:rPr>
        <w:t>rapporterende aanbieder van cryptoactivadiensten gedurende het betrokken kalenderjaar</w:t>
      </w:r>
    </w:p>
    <w:p w14:paraId="7CFDC4FB" w14:textId="77777777" w:rsidR="00BE6434" w:rsidRDefault="00BE6434" w:rsidP="00BE6434">
      <w:pPr>
        <w:autoSpaceDE w:val="0"/>
        <w:autoSpaceDN w:val="0"/>
        <w:adjustRightInd w:val="0"/>
        <w:rPr>
          <w:rFonts w:cs="Verdana"/>
          <w:szCs w:val="18"/>
        </w:rPr>
      </w:pPr>
      <w:r>
        <w:rPr>
          <w:rFonts w:cs="Verdana"/>
          <w:szCs w:val="18"/>
        </w:rPr>
        <w:t>uitgevoerde te rapporteren transacties, indien van toepassing:</w:t>
      </w:r>
    </w:p>
    <w:p w14:paraId="2E7AB97C" w14:textId="77777777" w:rsidR="00BE6434" w:rsidRDefault="00BE6434" w:rsidP="00BE6434">
      <w:pPr>
        <w:autoSpaceDE w:val="0"/>
        <w:autoSpaceDN w:val="0"/>
        <w:adjustRightInd w:val="0"/>
        <w:rPr>
          <w:rFonts w:cs="Verdana"/>
          <w:szCs w:val="18"/>
        </w:rPr>
      </w:pPr>
      <w:r>
        <w:rPr>
          <w:rFonts w:cs="Verdana"/>
          <w:szCs w:val="18"/>
        </w:rPr>
        <w:t>1°. de volledige naam van het soort te rapporteren cryptoactivum;</w:t>
      </w:r>
    </w:p>
    <w:p w14:paraId="352A9DE5" w14:textId="77777777" w:rsidR="00BE6434" w:rsidRDefault="00BE6434" w:rsidP="00BE6434">
      <w:pPr>
        <w:autoSpaceDE w:val="0"/>
        <w:autoSpaceDN w:val="0"/>
        <w:adjustRightInd w:val="0"/>
        <w:rPr>
          <w:rFonts w:cs="Verdana"/>
          <w:szCs w:val="18"/>
        </w:rPr>
      </w:pPr>
      <w:r>
        <w:rPr>
          <w:rFonts w:cs="Verdana"/>
          <w:szCs w:val="18"/>
        </w:rPr>
        <w:lastRenderedPageBreak/>
        <w:t>2°. het totale brutobedrag dat is betaald na aftrek van transactiekosten, het totale</w:t>
      </w:r>
    </w:p>
    <w:p w14:paraId="3EF8177C" w14:textId="77777777" w:rsidR="00BE6434" w:rsidRDefault="00BE6434" w:rsidP="00BE6434">
      <w:pPr>
        <w:autoSpaceDE w:val="0"/>
        <w:autoSpaceDN w:val="0"/>
        <w:adjustRightInd w:val="0"/>
        <w:rPr>
          <w:rFonts w:cs="Verdana"/>
          <w:szCs w:val="18"/>
        </w:rPr>
      </w:pPr>
      <w:r>
        <w:rPr>
          <w:rFonts w:cs="Verdana"/>
          <w:szCs w:val="18"/>
        </w:rPr>
        <w:t>aantal eenheden en het aantal te rapporteren transacties met betrekking tot</w:t>
      </w:r>
    </w:p>
    <w:p w14:paraId="4EA9B9DA" w14:textId="77777777" w:rsidR="00BE6434" w:rsidRDefault="00BE6434" w:rsidP="00BE6434">
      <w:pPr>
        <w:autoSpaceDE w:val="0"/>
        <w:autoSpaceDN w:val="0"/>
        <w:adjustRightInd w:val="0"/>
        <w:rPr>
          <w:rFonts w:cs="Verdana"/>
          <w:szCs w:val="18"/>
        </w:rPr>
      </w:pPr>
      <w:r>
        <w:rPr>
          <w:rFonts w:cs="Verdana"/>
          <w:szCs w:val="18"/>
        </w:rPr>
        <w:t>aankopen tegen fiduciaire valuta;</w:t>
      </w:r>
    </w:p>
    <w:p w14:paraId="604BB6D0" w14:textId="77777777" w:rsidR="00BE6434" w:rsidRDefault="00BE6434" w:rsidP="00BE6434">
      <w:pPr>
        <w:autoSpaceDE w:val="0"/>
        <w:autoSpaceDN w:val="0"/>
        <w:adjustRightInd w:val="0"/>
        <w:rPr>
          <w:rFonts w:cs="Verdana"/>
          <w:szCs w:val="18"/>
        </w:rPr>
      </w:pPr>
      <w:r>
        <w:rPr>
          <w:rFonts w:cs="Verdana"/>
          <w:szCs w:val="18"/>
        </w:rPr>
        <w:t>3°. het totale brutobedrag dat is ontvangen na aftrek van transactiekosten, het</w:t>
      </w:r>
    </w:p>
    <w:p w14:paraId="53B12280" w14:textId="77777777" w:rsidR="00BE6434" w:rsidRDefault="00BE6434" w:rsidP="00BE6434">
      <w:pPr>
        <w:autoSpaceDE w:val="0"/>
        <w:autoSpaceDN w:val="0"/>
        <w:adjustRightInd w:val="0"/>
        <w:rPr>
          <w:rFonts w:cs="Verdana"/>
          <w:szCs w:val="18"/>
        </w:rPr>
      </w:pPr>
      <w:r>
        <w:rPr>
          <w:rFonts w:cs="Verdana"/>
          <w:szCs w:val="18"/>
        </w:rPr>
        <w:t>totale aantal eenheden en het aantal te rapporteren transacties met betrekking tot</w:t>
      </w:r>
    </w:p>
    <w:p w14:paraId="4D8579A4" w14:textId="77777777" w:rsidR="00BE6434" w:rsidRDefault="00BE6434" w:rsidP="00BE6434">
      <w:pPr>
        <w:autoSpaceDE w:val="0"/>
        <w:autoSpaceDN w:val="0"/>
        <w:adjustRightInd w:val="0"/>
        <w:rPr>
          <w:rFonts w:cs="Verdana"/>
          <w:szCs w:val="18"/>
        </w:rPr>
      </w:pPr>
      <w:r>
        <w:rPr>
          <w:rFonts w:cs="Verdana"/>
          <w:szCs w:val="18"/>
        </w:rPr>
        <w:t>verkopen tegen fiduciaire valuta;</w:t>
      </w:r>
    </w:p>
    <w:p w14:paraId="14986D0F" w14:textId="77777777" w:rsidR="00BE6434" w:rsidRDefault="00BE6434" w:rsidP="00BE6434">
      <w:pPr>
        <w:autoSpaceDE w:val="0"/>
        <w:autoSpaceDN w:val="0"/>
        <w:adjustRightInd w:val="0"/>
        <w:rPr>
          <w:rFonts w:cs="Verdana"/>
          <w:szCs w:val="18"/>
        </w:rPr>
      </w:pPr>
      <w:r>
        <w:rPr>
          <w:rFonts w:cs="Verdana"/>
          <w:szCs w:val="18"/>
        </w:rPr>
        <w:t>4°. de totale reële marktwaarde na aftrek van transactiekosten, het totale aantal</w:t>
      </w:r>
    </w:p>
    <w:p w14:paraId="369CA22E" w14:textId="77777777" w:rsidR="00BE6434" w:rsidRDefault="00BE6434" w:rsidP="00BE6434">
      <w:pPr>
        <w:autoSpaceDE w:val="0"/>
        <w:autoSpaceDN w:val="0"/>
        <w:adjustRightInd w:val="0"/>
        <w:rPr>
          <w:rFonts w:cs="Verdana"/>
          <w:szCs w:val="18"/>
        </w:rPr>
      </w:pPr>
      <w:r>
        <w:rPr>
          <w:rFonts w:cs="Verdana"/>
          <w:szCs w:val="18"/>
        </w:rPr>
        <w:t>eenheden en het aantal te rapporteren transacties met betrekking tot aankopen</w:t>
      </w:r>
    </w:p>
    <w:p w14:paraId="32068E5C" w14:textId="77777777" w:rsidR="00BE6434" w:rsidRDefault="00BE6434" w:rsidP="00BE6434">
      <w:pPr>
        <w:autoSpaceDE w:val="0"/>
        <w:autoSpaceDN w:val="0"/>
        <w:adjustRightInd w:val="0"/>
        <w:rPr>
          <w:rFonts w:cs="Verdana"/>
          <w:szCs w:val="18"/>
        </w:rPr>
      </w:pPr>
      <w:r>
        <w:rPr>
          <w:rFonts w:cs="Verdana"/>
          <w:szCs w:val="18"/>
        </w:rPr>
        <w:t>tegen andere te rapporteren cryptoactiva;</w:t>
      </w:r>
    </w:p>
    <w:p w14:paraId="40903C7C" w14:textId="77777777" w:rsidR="00BE6434" w:rsidRDefault="00BE6434" w:rsidP="00BE6434">
      <w:pPr>
        <w:autoSpaceDE w:val="0"/>
        <w:autoSpaceDN w:val="0"/>
        <w:adjustRightInd w:val="0"/>
        <w:rPr>
          <w:rFonts w:cs="Verdana"/>
          <w:szCs w:val="18"/>
        </w:rPr>
      </w:pPr>
      <w:r>
        <w:rPr>
          <w:rFonts w:cs="Verdana"/>
          <w:szCs w:val="18"/>
        </w:rPr>
        <w:t>5°. de totale reële marktwaarde na aftrek van transactiekosten, het totale aantal</w:t>
      </w:r>
    </w:p>
    <w:p w14:paraId="786D2B73" w14:textId="77777777" w:rsidR="00BE6434" w:rsidRDefault="00BE6434" w:rsidP="00BE6434">
      <w:pPr>
        <w:autoSpaceDE w:val="0"/>
        <w:autoSpaceDN w:val="0"/>
        <w:adjustRightInd w:val="0"/>
        <w:rPr>
          <w:rFonts w:cs="Verdana"/>
          <w:szCs w:val="18"/>
        </w:rPr>
      </w:pPr>
      <w:r>
        <w:rPr>
          <w:rFonts w:cs="Verdana"/>
          <w:szCs w:val="18"/>
        </w:rPr>
        <w:t>eenheden en het aantal te rapporteren transacties met betrekking tot verkopen</w:t>
      </w:r>
    </w:p>
    <w:p w14:paraId="0F28C2C8" w14:textId="77777777" w:rsidR="00BE6434" w:rsidRDefault="00BE6434" w:rsidP="00BE6434">
      <w:pPr>
        <w:autoSpaceDE w:val="0"/>
        <w:autoSpaceDN w:val="0"/>
        <w:adjustRightInd w:val="0"/>
        <w:rPr>
          <w:rFonts w:cs="Verdana"/>
          <w:szCs w:val="18"/>
        </w:rPr>
      </w:pPr>
      <w:r>
        <w:rPr>
          <w:rFonts w:cs="Verdana"/>
          <w:szCs w:val="18"/>
        </w:rPr>
        <w:t>tegen andere te rapporteren cryptoactiva;</w:t>
      </w:r>
    </w:p>
    <w:p w14:paraId="29C52AA1" w14:textId="77777777" w:rsidR="00BE6434" w:rsidRDefault="00BE6434" w:rsidP="00BE6434">
      <w:pPr>
        <w:autoSpaceDE w:val="0"/>
        <w:autoSpaceDN w:val="0"/>
        <w:adjustRightInd w:val="0"/>
        <w:rPr>
          <w:rFonts w:cs="Verdana"/>
          <w:szCs w:val="18"/>
        </w:rPr>
      </w:pPr>
      <w:r>
        <w:rPr>
          <w:rFonts w:cs="Verdana"/>
          <w:szCs w:val="18"/>
        </w:rPr>
        <w:t>6°. de totale reële marktwaarde, het totale aantal eenheden en het aantal te</w:t>
      </w:r>
    </w:p>
    <w:p w14:paraId="0C013044" w14:textId="77777777" w:rsidR="00BE6434" w:rsidRDefault="00BE6434" w:rsidP="00BE6434">
      <w:pPr>
        <w:autoSpaceDE w:val="0"/>
        <w:autoSpaceDN w:val="0"/>
        <w:adjustRightInd w:val="0"/>
        <w:rPr>
          <w:rFonts w:cs="Verdana"/>
          <w:szCs w:val="18"/>
        </w:rPr>
      </w:pPr>
      <w:r>
        <w:rPr>
          <w:rFonts w:cs="Verdana"/>
          <w:szCs w:val="18"/>
        </w:rPr>
        <w:t xml:space="preserve">rapporteren </w:t>
      </w:r>
      <w:proofErr w:type="spellStart"/>
      <w:r>
        <w:rPr>
          <w:rFonts w:cs="Verdana"/>
          <w:szCs w:val="18"/>
        </w:rPr>
        <w:t>retailbetalingstransacties</w:t>
      </w:r>
      <w:proofErr w:type="spellEnd"/>
      <w:r>
        <w:rPr>
          <w:rFonts w:cs="Verdana"/>
          <w:szCs w:val="18"/>
        </w:rPr>
        <w:t>;</w:t>
      </w:r>
    </w:p>
    <w:p w14:paraId="24A56903" w14:textId="77777777" w:rsidR="00BE6434" w:rsidRDefault="00BE6434" w:rsidP="00BE6434">
      <w:pPr>
        <w:autoSpaceDE w:val="0"/>
        <w:autoSpaceDN w:val="0"/>
        <w:adjustRightInd w:val="0"/>
        <w:rPr>
          <w:rFonts w:cs="Verdana"/>
          <w:szCs w:val="18"/>
        </w:rPr>
      </w:pPr>
      <w:r>
        <w:rPr>
          <w:rFonts w:cs="Verdana"/>
          <w:szCs w:val="18"/>
        </w:rPr>
        <w:t>7°. de totale reële marktwaarde, het totale aantal eenheden en het aantal te</w:t>
      </w:r>
    </w:p>
    <w:p w14:paraId="78BA566D" w14:textId="77777777" w:rsidR="00BE6434" w:rsidRDefault="00BE6434" w:rsidP="00BE6434">
      <w:pPr>
        <w:autoSpaceDE w:val="0"/>
        <w:autoSpaceDN w:val="0"/>
        <w:adjustRightInd w:val="0"/>
        <w:rPr>
          <w:rFonts w:cs="Verdana"/>
          <w:szCs w:val="18"/>
        </w:rPr>
      </w:pPr>
      <w:r>
        <w:rPr>
          <w:rFonts w:cs="Verdana"/>
          <w:szCs w:val="18"/>
        </w:rPr>
        <w:t>rapporteren transacties, onderverdeeld naar soort overmaking indien bekend bij de</w:t>
      </w:r>
    </w:p>
    <w:p w14:paraId="1F929899" w14:textId="77777777" w:rsidR="00BE6434" w:rsidRDefault="00BE6434" w:rsidP="00BE6434">
      <w:pPr>
        <w:autoSpaceDE w:val="0"/>
        <w:autoSpaceDN w:val="0"/>
        <w:adjustRightInd w:val="0"/>
        <w:rPr>
          <w:rFonts w:cs="Verdana"/>
          <w:szCs w:val="18"/>
        </w:rPr>
      </w:pPr>
      <w:r>
        <w:rPr>
          <w:rFonts w:cs="Verdana"/>
          <w:szCs w:val="18"/>
        </w:rPr>
        <w:t>rapporterende aanbieder van cryptoactivadiensten, met betrekking tot</w:t>
      </w:r>
    </w:p>
    <w:p w14:paraId="55F4E8F1" w14:textId="77777777" w:rsidR="00BE6434" w:rsidRDefault="00BE6434" w:rsidP="00BE6434">
      <w:pPr>
        <w:autoSpaceDE w:val="0"/>
        <w:autoSpaceDN w:val="0"/>
        <w:adjustRightInd w:val="0"/>
        <w:rPr>
          <w:rFonts w:cs="Verdana"/>
          <w:szCs w:val="18"/>
        </w:rPr>
      </w:pPr>
      <w:r>
        <w:rPr>
          <w:rFonts w:cs="Verdana"/>
          <w:szCs w:val="18"/>
        </w:rPr>
        <w:t>overdrachten aan een te rapporteren gebruiker die niet onder de punten 2° en 4°</w:t>
      </w:r>
    </w:p>
    <w:p w14:paraId="2F994AB5" w14:textId="77777777" w:rsidR="00BE6434" w:rsidRDefault="00BE6434" w:rsidP="00BE6434">
      <w:pPr>
        <w:autoSpaceDE w:val="0"/>
        <w:autoSpaceDN w:val="0"/>
        <w:adjustRightInd w:val="0"/>
        <w:rPr>
          <w:rFonts w:cs="Verdana"/>
          <w:szCs w:val="18"/>
        </w:rPr>
      </w:pPr>
      <w:r>
        <w:rPr>
          <w:rFonts w:cs="Verdana"/>
          <w:szCs w:val="18"/>
        </w:rPr>
        <w:t>vallen; en</w:t>
      </w:r>
    </w:p>
    <w:p w14:paraId="26D3BD79" w14:textId="77777777" w:rsidR="00BE6434" w:rsidRDefault="00BE6434" w:rsidP="00BE6434">
      <w:pPr>
        <w:autoSpaceDE w:val="0"/>
        <w:autoSpaceDN w:val="0"/>
        <w:adjustRightInd w:val="0"/>
        <w:rPr>
          <w:rFonts w:cs="Verdana"/>
          <w:szCs w:val="18"/>
        </w:rPr>
      </w:pPr>
      <w:r>
        <w:rPr>
          <w:rFonts w:cs="Verdana"/>
          <w:szCs w:val="18"/>
        </w:rPr>
        <w:t>8°. de totale reële marktwaarde, het totale aantal eenheden en het aantal te</w:t>
      </w:r>
    </w:p>
    <w:p w14:paraId="24189BE2" w14:textId="77777777" w:rsidR="00BE6434" w:rsidRDefault="00BE6434" w:rsidP="00BE6434">
      <w:pPr>
        <w:autoSpaceDE w:val="0"/>
        <w:autoSpaceDN w:val="0"/>
        <w:adjustRightInd w:val="0"/>
        <w:rPr>
          <w:rFonts w:cs="Verdana"/>
          <w:szCs w:val="18"/>
        </w:rPr>
      </w:pPr>
      <w:r>
        <w:rPr>
          <w:rFonts w:cs="Verdana"/>
          <w:szCs w:val="18"/>
        </w:rPr>
        <w:t>rapporteren transacties, onderverdeeld naar soort overmaking indien bekend bij de</w:t>
      </w:r>
    </w:p>
    <w:p w14:paraId="5F20E72B" w14:textId="77777777" w:rsidR="00BE6434" w:rsidRDefault="00BE6434" w:rsidP="00BE6434">
      <w:pPr>
        <w:autoSpaceDE w:val="0"/>
        <w:autoSpaceDN w:val="0"/>
        <w:adjustRightInd w:val="0"/>
        <w:rPr>
          <w:rFonts w:cs="Verdana"/>
          <w:szCs w:val="18"/>
        </w:rPr>
      </w:pPr>
      <w:r>
        <w:rPr>
          <w:rFonts w:cs="Verdana"/>
          <w:szCs w:val="18"/>
        </w:rPr>
        <w:t>rapporterende aanbieder van cryptoactivadiensten, met betrekking tot</w:t>
      </w:r>
    </w:p>
    <w:p w14:paraId="0C51540F" w14:textId="77777777" w:rsidR="00BE6434" w:rsidRDefault="00BE6434" w:rsidP="00BE6434">
      <w:pPr>
        <w:autoSpaceDE w:val="0"/>
        <w:autoSpaceDN w:val="0"/>
        <w:adjustRightInd w:val="0"/>
        <w:rPr>
          <w:rFonts w:cs="Verdana"/>
          <w:szCs w:val="18"/>
        </w:rPr>
      </w:pPr>
      <w:r>
        <w:rPr>
          <w:rFonts w:cs="Verdana"/>
          <w:szCs w:val="18"/>
        </w:rPr>
        <w:t>overdrachten door een te rapporteren gebruiker die niet onder de punten 3°, 5° en</w:t>
      </w:r>
    </w:p>
    <w:p w14:paraId="27128B75" w14:textId="77777777" w:rsidR="00BE6434" w:rsidRDefault="00BE6434" w:rsidP="00BE6434">
      <w:pPr>
        <w:autoSpaceDE w:val="0"/>
        <w:autoSpaceDN w:val="0"/>
        <w:adjustRightInd w:val="0"/>
        <w:rPr>
          <w:rFonts w:cs="Verdana"/>
          <w:szCs w:val="18"/>
        </w:rPr>
      </w:pPr>
      <w:r>
        <w:rPr>
          <w:rFonts w:cs="Verdana"/>
          <w:szCs w:val="18"/>
        </w:rPr>
        <w:t>6° vallen;</w:t>
      </w:r>
    </w:p>
    <w:p w14:paraId="0D7CD056" w14:textId="77777777" w:rsidR="00BE6434" w:rsidRDefault="00BE6434" w:rsidP="00BE6434">
      <w:pPr>
        <w:autoSpaceDE w:val="0"/>
        <w:autoSpaceDN w:val="0"/>
        <w:adjustRightInd w:val="0"/>
        <w:rPr>
          <w:rFonts w:cs="Verdana"/>
          <w:szCs w:val="18"/>
        </w:rPr>
      </w:pPr>
      <w:r>
        <w:rPr>
          <w:rFonts w:cs="Verdana"/>
          <w:szCs w:val="18"/>
        </w:rPr>
        <w:t>5. In aanvulling op het vierde lid rapporteert de rapporterende aanbieder van cryptoactivadiensten voor elk soort te rapporteren cryptoactivum dat deel uitmaakt van door de rapporterende aanbieder van cryptoactivadiensten gedurende het betrokken kalenderjaar uitgevoerde te rapporteren transacties:</w:t>
      </w:r>
    </w:p>
    <w:p w14:paraId="08513C00" w14:textId="77777777" w:rsidR="00BE6434" w:rsidRDefault="00BE6434" w:rsidP="00BE6434">
      <w:pPr>
        <w:autoSpaceDE w:val="0"/>
        <w:autoSpaceDN w:val="0"/>
        <w:adjustRightInd w:val="0"/>
        <w:rPr>
          <w:rFonts w:cs="Verdana"/>
          <w:szCs w:val="18"/>
        </w:rPr>
      </w:pPr>
      <w:r>
        <w:rPr>
          <w:rFonts w:cs="Verdana"/>
          <w:szCs w:val="18"/>
        </w:rPr>
        <w:t>a. met betrekking tot elke gebruiker van cryptoactiva die een te rapporteren</w:t>
      </w:r>
    </w:p>
    <w:p w14:paraId="2F778DCA" w14:textId="77777777" w:rsidR="00BE6434" w:rsidRDefault="00BE6434" w:rsidP="00BE6434">
      <w:pPr>
        <w:autoSpaceDE w:val="0"/>
        <w:autoSpaceDN w:val="0"/>
        <w:adjustRightInd w:val="0"/>
        <w:rPr>
          <w:rFonts w:cs="Verdana"/>
          <w:szCs w:val="18"/>
        </w:rPr>
      </w:pPr>
      <w:r>
        <w:rPr>
          <w:rFonts w:cs="Verdana"/>
          <w:szCs w:val="18"/>
        </w:rPr>
        <w:t>gebruiker onder Richtlijn 2016/11/EU is of te rapporteren personen onder Richtlijn</w:t>
      </w:r>
    </w:p>
    <w:p w14:paraId="1887444B" w14:textId="77777777" w:rsidR="00BE6434" w:rsidRDefault="00BE6434" w:rsidP="00BE6434">
      <w:pPr>
        <w:autoSpaceDE w:val="0"/>
        <w:autoSpaceDN w:val="0"/>
        <w:adjustRightInd w:val="0"/>
        <w:rPr>
          <w:rFonts w:cs="Verdana"/>
          <w:szCs w:val="18"/>
        </w:rPr>
      </w:pPr>
      <w:r>
        <w:rPr>
          <w:rFonts w:cs="Verdana"/>
          <w:szCs w:val="18"/>
        </w:rPr>
        <w:t>2016/11/EU heeft: de totale reële marktwaarde en het totale aantal eenheden van</w:t>
      </w:r>
    </w:p>
    <w:p w14:paraId="1853B6C8" w14:textId="77777777" w:rsidR="00BE6434" w:rsidRDefault="00BE6434" w:rsidP="00BE6434">
      <w:pPr>
        <w:autoSpaceDE w:val="0"/>
        <w:autoSpaceDN w:val="0"/>
        <w:adjustRightInd w:val="0"/>
        <w:rPr>
          <w:rFonts w:cs="Verdana"/>
          <w:szCs w:val="18"/>
        </w:rPr>
      </w:pPr>
      <w:r>
        <w:rPr>
          <w:rFonts w:cs="Verdana"/>
          <w:szCs w:val="18"/>
        </w:rPr>
        <w:t>overdrachten die door de rapporterende aanbieder van cryptoactivadiensten zijn</w:t>
      </w:r>
    </w:p>
    <w:p w14:paraId="5E97DFB6" w14:textId="77777777" w:rsidR="00BE6434" w:rsidRDefault="00BE6434" w:rsidP="00BE6434">
      <w:pPr>
        <w:autoSpaceDE w:val="0"/>
        <w:autoSpaceDN w:val="0"/>
        <w:adjustRightInd w:val="0"/>
        <w:rPr>
          <w:rFonts w:cs="Verdana"/>
          <w:szCs w:val="18"/>
        </w:rPr>
      </w:pPr>
      <w:r>
        <w:rPr>
          <w:rFonts w:cs="Verdana"/>
          <w:szCs w:val="18"/>
        </w:rPr>
        <w:t xml:space="preserve">uitgevoerd naar </w:t>
      </w:r>
      <w:proofErr w:type="spellStart"/>
      <w:r>
        <w:rPr>
          <w:rFonts w:cs="Verdana"/>
          <w:szCs w:val="18"/>
        </w:rPr>
        <w:t>distributed</w:t>
      </w:r>
      <w:proofErr w:type="spellEnd"/>
      <w:r>
        <w:rPr>
          <w:rFonts w:cs="Verdana"/>
          <w:szCs w:val="18"/>
        </w:rPr>
        <w:t>-</w:t>
      </w:r>
      <w:proofErr w:type="spellStart"/>
      <w:r>
        <w:rPr>
          <w:rFonts w:cs="Verdana"/>
          <w:szCs w:val="18"/>
        </w:rPr>
        <w:t>ledger</w:t>
      </w:r>
      <w:proofErr w:type="spellEnd"/>
      <w:r>
        <w:rPr>
          <w:rFonts w:cs="Verdana"/>
          <w:szCs w:val="18"/>
        </w:rPr>
        <w:t>-adressen waarvan niet bekend is dat zij</w:t>
      </w:r>
    </w:p>
    <w:p w14:paraId="036E26C8" w14:textId="77777777" w:rsidR="00BE6434" w:rsidRDefault="00BE6434" w:rsidP="00BE6434">
      <w:pPr>
        <w:autoSpaceDE w:val="0"/>
        <w:autoSpaceDN w:val="0"/>
        <w:adjustRightInd w:val="0"/>
        <w:rPr>
          <w:rFonts w:cs="Verdana"/>
          <w:szCs w:val="18"/>
        </w:rPr>
      </w:pPr>
      <w:r>
        <w:rPr>
          <w:rFonts w:cs="Verdana"/>
          <w:szCs w:val="18"/>
        </w:rPr>
        <w:t>verbonden zijn met een aanbieder van virtuele activadiensten of een financiële</w:t>
      </w:r>
    </w:p>
    <w:p w14:paraId="33D27C15" w14:textId="77777777" w:rsidR="00BE6434" w:rsidRDefault="00BE6434" w:rsidP="00BE6434">
      <w:pPr>
        <w:autoSpaceDE w:val="0"/>
        <w:autoSpaceDN w:val="0"/>
        <w:adjustRightInd w:val="0"/>
        <w:rPr>
          <w:rFonts w:cs="Verdana"/>
          <w:szCs w:val="18"/>
        </w:rPr>
      </w:pPr>
      <w:r>
        <w:rPr>
          <w:rFonts w:cs="Verdana"/>
          <w:szCs w:val="18"/>
        </w:rPr>
        <w:t>instelling;</w:t>
      </w:r>
    </w:p>
    <w:p w14:paraId="2CEEF8AA" w14:textId="77777777" w:rsidR="00BE6434" w:rsidRDefault="00BE6434" w:rsidP="00BE6434">
      <w:pPr>
        <w:autoSpaceDE w:val="0"/>
        <w:autoSpaceDN w:val="0"/>
        <w:adjustRightInd w:val="0"/>
        <w:rPr>
          <w:rFonts w:cs="Verdana"/>
          <w:szCs w:val="18"/>
        </w:rPr>
      </w:pPr>
      <w:r>
        <w:rPr>
          <w:rFonts w:cs="Verdana"/>
          <w:szCs w:val="18"/>
        </w:rPr>
        <w:t>b. met betrekking tot elke gebruiker van cryptoactiva die een te rapporteren</w:t>
      </w:r>
    </w:p>
    <w:p w14:paraId="66C64CB9" w14:textId="77777777" w:rsidR="00BE6434" w:rsidRDefault="00BE6434" w:rsidP="00BE6434">
      <w:pPr>
        <w:autoSpaceDE w:val="0"/>
        <w:autoSpaceDN w:val="0"/>
        <w:adjustRightInd w:val="0"/>
        <w:rPr>
          <w:rFonts w:cs="Verdana"/>
          <w:szCs w:val="18"/>
        </w:rPr>
      </w:pPr>
      <w:r>
        <w:rPr>
          <w:rFonts w:cs="Verdana"/>
          <w:szCs w:val="18"/>
        </w:rPr>
        <w:t>gebruiker onder CARF is of te rapporteren personen onder CARF heeft: de totale</w:t>
      </w:r>
    </w:p>
    <w:p w14:paraId="607A5389" w14:textId="77777777" w:rsidR="00BE6434" w:rsidRDefault="00BE6434" w:rsidP="00BE6434">
      <w:pPr>
        <w:autoSpaceDE w:val="0"/>
        <w:autoSpaceDN w:val="0"/>
        <w:adjustRightInd w:val="0"/>
        <w:rPr>
          <w:rFonts w:cs="Verdana"/>
          <w:szCs w:val="18"/>
        </w:rPr>
      </w:pPr>
      <w:r>
        <w:rPr>
          <w:rFonts w:cs="Verdana"/>
          <w:szCs w:val="18"/>
        </w:rPr>
        <w:t>reële marktwaarde en het totale aantal eenheden van overdrachten die door de</w:t>
      </w:r>
    </w:p>
    <w:p w14:paraId="4FE3920D" w14:textId="77777777" w:rsidR="00BE6434" w:rsidRDefault="00BE6434" w:rsidP="00BE6434">
      <w:pPr>
        <w:autoSpaceDE w:val="0"/>
        <w:autoSpaceDN w:val="0"/>
        <w:adjustRightInd w:val="0"/>
        <w:rPr>
          <w:rFonts w:cs="Verdana"/>
          <w:szCs w:val="18"/>
        </w:rPr>
      </w:pPr>
      <w:r>
        <w:rPr>
          <w:rFonts w:cs="Verdana"/>
          <w:szCs w:val="18"/>
        </w:rPr>
        <w:t xml:space="preserve">rapporterende aanbieder van cryptoactivadiensten zijn uitgevoerd naar </w:t>
      </w:r>
      <w:proofErr w:type="spellStart"/>
      <w:r>
        <w:rPr>
          <w:rFonts w:cs="Verdana"/>
          <w:szCs w:val="18"/>
        </w:rPr>
        <w:t>walletadressen</w:t>
      </w:r>
      <w:proofErr w:type="spellEnd"/>
      <w:r>
        <w:rPr>
          <w:rFonts w:cs="Verdana"/>
          <w:szCs w:val="18"/>
        </w:rPr>
        <w:t xml:space="preserve"> waarvan niet bekend is dat zij verbonden zijn met een aanbieder van</w:t>
      </w:r>
    </w:p>
    <w:p w14:paraId="6866CA0C" w14:textId="77777777" w:rsidR="00BE6434" w:rsidRDefault="00BE6434" w:rsidP="00BE6434">
      <w:pPr>
        <w:autoSpaceDE w:val="0"/>
        <w:autoSpaceDN w:val="0"/>
        <w:adjustRightInd w:val="0"/>
        <w:rPr>
          <w:rFonts w:cs="Verdana"/>
          <w:szCs w:val="18"/>
        </w:rPr>
      </w:pPr>
      <w:r>
        <w:rPr>
          <w:rFonts w:cs="Verdana"/>
          <w:szCs w:val="18"/>
        </w:rPr>
        <w:t>virtuele activadiensten of een financiële instelling;</w:t>
      </w:r>
    </w:p>
    <w:p w14:paraId="4A621995" w14:textId="77777777" w:rsidR="00BE6434" w:rsidRDefault="00BE6434" w:rsidP="00BE6434">
      <w:pPr>
        <w:autoSpaceDE w:val="0"/>
        <w:autoSpaceDN w:val="0"/>
        <w:adjustRightInd w:val="0"/>
        <w:rPr>
          <w:rFonts w:cs="Verdana"/>
          <w:szCs w:val="18"/>
        </w:rPr>
      </w:pPr>
      <w:r>
        <w:rPr>
          <w:rFonts w:cs="Verdana"/>
          <w:szCs w:val="18"/>
        </w:rPr>
        <w:t>6. Bij de toepassing van het vierde lid, aanhef en onderdeel b, onder b2° en b3° rapporteert de rapporterende aanbieder van cryptoactivadiensten het betaalde of ontvangen bedrag in de fiduciaire valuta waarin het is betaald of ontvangen. Indien de bedragen in meerdere fiduciaire valuta’s zijn betaald of ontvangen, rapporteert de rapporterende aanbieder van cryptoactivadiensten de bedragen in één valuta, die hij op het tijdstip van elke te rapporteren transactie omrekent op een wijze die door hem consequent wordt toegepast.</w:t>
      </w:r>
    </w:p>
    <w:p w14:paraId="03B0EBA4" w14:textId="24B50FFF" w:rsidR="00BE6434" w:rsidRDefault="00BE6434" w:rsidP="00BE6434">
      <w:pPr>
        <w:autoSpaceDE w:val="0"/>
        <w:autoSpaceDN w:val="0"/>
        <w:adjustRightInd w:val="0"/>
        <w:rPr>
          <w:rFonts w:cs="Verdana"/>
          <w:szCs w:val="18"/>
        </w:rPr>
      </w:pPr>
      <w:r>
        <w:rPr>
          <w:rFonts w:cs="Verdana"/>
          <w:szCs w:val="18"/>
        </w:rPr>
        <w:t xml:space="preserve">7. Bij de toepassing van het vierde lid, aanhef en onderdeel b, onder b4° tot en met b8°, en </w:t>
      </w:r>
      <w:r w:rsidR="008A1F19">
        <w:rPr>
          <w:rFonts w:cs="Verdana"/>
          <w:szCs w:val="18"/>
        </w:rPr>
        <w:t xml:space="preserve">het </w:t>
      </w:r>
      <w:r>
        <w:rPr>
          <w:rFonts w:cs="Verdana"/>
          <w:szCs w:val="18"/>
        </w:rPr>
        <w:t>vijfde lid bepaalt en rapporteert de rapporterende aanbieder van cryptoactivadiensten de reële marktwaarde in één valuta, die hij op het tijdstip van elke te rapporteren transactie waardeert opeen wijze die door hem consequent wordt toegepast.</w:t>
      </w:r>
    </w:p>
    <w:p w14:paraId="354CB2F1" w14:textId="5133613C" w:rsidR="00BE6434" w:rsidRPr="00507B43" w:rsidRDefault="00BE6434" w:rsidP="00BE6434">
      <w:pPr>
        <w:autoSpaceDE w:val="0"/>
        <w:autoSpaceDN w:val="0"/>
        <w:adjustRightInd w:val="0"/>
        <w:rPr>
          <w:rFonts w:ascii="Verdana-Bold" w:hAnsi="Verdana-Bold" w:cs="Verdana-Bold"/>
          <w:b/>
          <w:bCs/>
          <w:szCs w:val="18"/>
        </w:rPr>
      </w:pPr>
      <w:r>
        <w:rPr>
          <w:rFonts w:cs="Verdana"/>
          <w:szCs w:val="18"/>
        </w:rPr>
        <w:t xml:space="preserve">8. De rapporterende aanbieder van </w:t>
      </w:r>
      <w:proofErr w:type="spellStart"/>
      <w:r>
        <w:rPr>
          <w:rFonts w:cs="Verdana"/>
          <w:szCs w:val="18"/>
        </w:rPr>
        <w:t>cryptoactivadiensten</w:t>
      </w:r>
      <w:proofErr w:type="spellEnd"/>
      <w:r w:rsidR="008A1F19">
        <w:rPr>
          <w:rFonts w:cs="Verdana"/>
          <w:szCs w:val="18"/>
        </w:rPr>
        <w:t xml:space="preserve"> </w:t>
      </w:r>
      <w:r>
        <w:rPr>
          <w:rFonts w:cs="Verdana"/>
          <w:szCs w:val="18"/>
        </w:rPr>
        <w:t>vermeldt bij elk bedrag in de rapportage</w:t>
      </w:r>
      <w:r>
        <w:rPr>
          <w:rFonts w:ascii="Verdana-Bold" w:hAnsi="Verdana-Bold" w:cs="Verdana-Bold"/>
          <w:b/>
          <w:bCs/>
          <w:szCs w:val="18"/>
        </w:rPr>
        <w:t xml:space="preserve"> </w:t>
      </w:r>
      <w:r>
        <w:rPr>
          <w:rFonts w:cs="Verdana"/>
          <w:szCs w:val="18"/>
        </w:rPr>
        <w:t>de fiduciaire valuta waarin dat bedrag wordt gerapporteerd.</w:t>
      </w:r>
    </w:p>
    <w:p w14:paraId="5A79A283" w14:textId="77777777" w:rsidR="00BE6434" w:rsidRDefault="00BE6434" w:rsidP="00BE6434">
      <w:pPr>
        <w:autoSpaceDE w:val="0"/>
        <w:autoSpaceDN w:val="0"/>
        <w:adjustRightInd w:val="0"/>
        <w:rPr>
          <w:rFonts w:cs="Verdana"/>
          <w:szCs w:val="18"/>
        </w:rPr>
      </w:pPr>
      <w:r>
        <w:rPr>
          <w:rFonts w:cs="Verdana"/>
          <w:szCs w:val="18"/>
        </w:rPr>
        <w:t>9. In afwijking van het vierde lid, aanhef en onderdeel a, is de rapporterende aanbieder van cryptoactivadiensten uitgesloten van de plicht om de geboorteplaats van een te rapporteren gebruiker die een natuurlijk persoon is en van een uiteindelijk belanghebbende van een entiteit die een te rapporteren persoon is te rapporteren, indien hij op grond van het nationale recht niet</w:t>
      </w:r>
    </w:p>
    <w:p w14:paraId="075C6910" w14:textId="77777777" w:rsidR="00BE6434" w:rsidRDefault="00BE6434" w:rsidP="00BE6434">
      <w:pPr>
        <w:autoSpaceDE w:val="0"/>
        <w:autoSpaceDN w:val="0"/>
        <w:adjustRightInd w:val="0"/>
        <w:rPr>
          <w:rFonts w:cs="Verdana"/>
          <w:szCs w:val="18"/>
        </w:rPr>
      </w:pPr>
      <w:r>
        <w:rPr>
          <w:rFonts w:cs="Verdana"/>
          <w:szCs w:val="18"/>
        </w:rPr>
        <w:t>anderszins verplicht is dat gegeven te verkrijgen en te rapporteren.</w:t>
      </w:r>
    </w:p>
    <w:p w14:paraId="07883599" w14:textId="50E7A94E" w:rsidR="00BE6434" w:rsidRDefault="00BE6434" w:rsidP="00BE6434">
      <w:pPr>
        <w:autoSpaceDE w:val="0"/>
        <w:autoSpaceDN w:val="0"/>
        <w:adjustRightInd w:val="0"/>
        <w:rPr>
          <w:rFonts w:cs="Verdana"/>
          <w:szCs w:val="18"/>
        </w:rPr>
      </w:pPr>
      <w:r>
        <w:rPr>
          <w:rFonts w:cs="Verdana"/>
          <w:szCs w:val="18"/>
        </w:rPr>
        <w:lastRenderedPageBreak/>
        <w:t>10. In afwijking van het vier lid, aanhef en onderdeel a, is de rapporterende aanbieder van</w:t>
      </w:r>
      <w:r w:rsidR="00376FDD">
        <w:rPr>
          <w:rFonts w:cs="Verdana"/>
          <w:szCs w:val="18"/>
        </w:rPr>
        <w:t xml:space="preserve"> </w:t>
      </w:r>
      <w:r>
        <w:rPr>
          <w:rFonts w:cs="Verdana"/>
          <w:szCs w:val="18"/>
        </w:rPr>
        <w:t>cryptoactivadiensten uitgesloten van de plicht om een fiscaal identificatienummer te rapporteren, zolang dat door het niet-Unierechtsgebied waarmee Nederland een van kracht zijnde adequate overeenkomst heeft die voorziet in de wederkerige uitwisseling van gelijkwaardige gegevens en inlichtingen tussen Nederland en dat niet-Unierechtsgebied niet is uitgegeven of het nationale recht van dat niet-Unierechtsgebied het verzamelen van het uitgegeven fiscaalidentificatienummer niet voorschrijft.</w:t>
      </w:r>
    </w:p>
    <w:p w14:paraId="0F7CEBF4" w14:textId="77777777" w:rsidR="00BE6434" w:rsidRDefault="00BE6434" w:rsidP="00BE6434">
      <w:pPr>
        <w:autoSpaceDE w:val="0"/>
        <w:autoSpaceDN w:val="0"/>
        <w:adjustRightInd w:val="0"/>
        <w:rPr>
          <w:rFonts w:cs="Verdana"/>
          <w:szCs w:val="18"/>
        </w:rPr>
      </w:pPr>
      <w:r>
        <w:rPr>
          <w:rFonts w:cs="Verdana"/>
          <w:szCs w:val="18"/>
        </w:rPr>
        <w:t>11. In afwijking van het vierde lid, aanhef en onderdeel a, rapporteert de rapporterende aanbieder van cryptoactivadiensten de naam van de te rapporteren persoon, de identificatiecode of identificatiecodes van de identificatiedienst voor rapporterende aanbieders van cryptoactivadiensten en de lidstaat of lidstaten van afgifte, alsmede de rol of rollen op grond waarvan elke te rapporteren persoon een uiteindelijk belanghebbende van de entiteit is, indien de rapporterende aanbieder van cryptoactivadiensten gebruik heeft gemaakt van een identificatiedienst voor rapporterende aanbieders van cryptoactivadiensten om de identiteit en de</w:t>
      </w:r>
    </w:p>
    <w:p w14:paraId="46749A0D" w14:textId="77777777" w:rsidR="00BE6434" w:rsidRDefault="00BE6434" w:rsidP="00BE6434">
      <w:pPr>
        <w:autoSpaceDE w:val="0"/>
        <w:autoSpaceDN w:val="0"/>
        <w:adjustRightInd w:val="0"/>
        <w:rPr>
          <w:rFonts w:cs="Verdana"/>
          <w:szCs w:val="18"/>
        </w:rPr>
      </w:pPr>
      <w:r>
        <w:rPr>
          <w:rFonts w:cs="Verdana"/>
          <w:szCs w:val="18"/>
        </w:rPr>
        <w:t>fiscale woonplaats of fiscale woonplaatsen van de te rapporteren persoon vast te stellen.</w:t>
      </w:r>
    </w:p>
    <w:p w14:paraId="0246B739" w14:textId="77777777" w:rsidR="00BE6434" w:rsidRDefault="00BE6434" w:rsidP="00BE6434">
      <w:pPr>
        <w:autoSpaceDE w:val="0"/>
        <w:autoSpaceDN w:val="0"/>
        <w:adjustRightInd w:val="0"/>
        <w:rPr>
          <w:rFonts w:cs="Verdana"/>
          <w:szCs w:val="18"/>
        </w:rPr>
      </w:pPr>
      <w:r>
        <w:rPr>
          <w:rFonts w:cs="Verdana"/>
          <w:szCs w:val="18"/>
        </w:rPr>
        <w:t>12. De rapporterende aanbieder van cryptoactivadiensten rapporteert de gegevens en inlichtingen, bedoeld in het derde tot en met elfde lid, jaarlijks uiterlijk op 31 januari van het kalenderjaarvolgend op het jaar waarop de gegevens en inlichtingen betrekking hebben.</w:t>
      </w:r>
    </w:p>
    <w:p w14:paraId="6DEFB8A8" w14:textId="77777777" w:rsidR="00BE6434" w:rsidRDefault="00BE6434" w:rsidP="00BE6434">
      <w:pPr>
        <w:autoSpaceDE w:val="0"/>
        <w:autoSpaceDN w:val="0"/>
        <w:adjustRightInd w:val="0"/>
        <w:rPr>
          <w:rFonts w:cs="Verdana"/>
          <w:szCs w:val="18"/>
        </w:rPr>
      </w:pPr>
    </w:p>
    <w:p w14:paraId="208BF2A8" w14:textId="77777777" w:rsidR="00BE6434" w:rsidRDefault="00BE6434" w:rsidP="00BE6434">
      <w:pPr>
        <w:autoSpaceDE w:val="0"/>
        <w:autoSpaceDN w:val="0"/>
        <w:adjustRightInd w:val="0"/>
        <w:rPr>
          <w:rFonts w:ascii="Verdana-Bold" w:hAnsi="Verdana-Bold" w:cs="Verdana-Bold"/>
          <w:b/>
          <w:bCs/>
          <w:szCs w:val="18"/>
        </w:rPr>
      </w:pPr>
      <w:r>
        <w:rPr>
          <w:rFonts w:ascii="Verdana-Bold" w:hAnsi="Verdana-Bold" w:cs="Verdana-Bold"/>
          <w:b/>
          <w:bCs/>
          <w:szCs w:val="18"/>
        </w:rPr>
        <w:t>Artikel 10od</w:t>
      </w:r>
    </w:p>
    <w:p w14:paraId="33E8D78C" w14:textId="77777777" w:rsidR="00BE6434" w:rsidRDefault="00BE6434" w:rsidP="00BE6434">
      <w:pPr>
        <w:autoSpaceDE w:val="0"/>
        <w:autoSpaceDN w:val="0"/>
        <w:adjustRightInd w:val="0"/>
        <w:rPr>
          <w:rFonts w:cs="Verdana"/>
          <w:szCs w:val="18"/>
        </w:rPr>
      </w:pPr>
      <w:r>
        <w:rPr>
          <w:rFonts w:cs="Verdana"/>
          <w:szCs w:val="18"/>
        </w:rPr>
        <w:t>1. Een exploitant van cryptoactiva die een rapporterende aanbieder van cryptoactivadiensten is en</w:t>
      </w:r>
    </w:p>
    <w:p w14:paraId="06A1D866" w14:textId="77777777" w:rsidR="00BE6434" w:rsidRDefault="00BE6434" w:rsidP="00BE6434">
      <w:pPr>
        <w:autoSpaceDE w:val="0"/>
        <w:autoSpaceDN w:val="0"/>
        <w:adjustRightInd w:val="0"/>
        <w:rPr>
          <w:rFonts w:cs="Verdana"/>
          <w:szCs w:val="18"/>
        </w:rPr>
      </w:pPr>
      <w:r>
        <w:rPr>
          <w:rFonts w:cs="Verdana"/>
          <w:szCs w:val="18"/>
        </w:rPr>
        <w:t>die op grond van het bepaalde in artikel 10ob een rapportageplicht in Nederland heeft en een exploitant van cryptoactiva die in meer dan één lidstaat voldoet aan één van dezelfde voorwaarden van artikel 10ob, eerste lid, aanhef en onder b, of tweede lid, en die kiest voor registratie in Nederland registreert zich uiterlijk op de datum, bedoeld in artikel 10ob, twaalfde lid, bij Onze Minister.</w:t>
      </w:r>
    </w:p>
    <w:p w14:paraId="09F77FEC" w14:textId="77777777" w:rsidR="00BE6434" w:rsidRDefault="00BE6434" w:rsidP="00BE6434">
      <w:pPr>
        <w:autoSpaceDE w:val="0"/>
        <w:autoSpaceDN w:val="0"/>
        <w:adjustRightInd w:val="0"/>
        <w:rPr>
          <w:rFonts w:cs="Verdana"/>
          <w:szCs w:val="18"/>
        </w:rPr>
      </w:pPr>
      <w:r>
        <w:rPr>
          <w:rFonts w:cs="Verdana"/>
          <w:szCs w:val="18"/>
        </w:rPr>
        <w:t>2. In afwijking van het eerste lid registreert een exploitant zich niet bij Onze Minister indien hij op grond van artikel 10oc niet verplicht is in Nederland te voldoen aan de rapportageplicht bedoeld in artikel 10ob, eerste lid.</w:t>
      </w:r>
    </w:p>
    <w:p w14:paraId="76F3436B" w14:textId="77777777" w:rsidR="00BE6434" w:rsidRDefault="00BE6434" w:rsidP="00BE6434">
      <w:pPr>
        <w:autoSpaceDE w:val="0"/>
        <w:autoSpaceDN w:val="0"/>
        <w:adjustRightInd w:val="0"/>
        <w:rPr>
          <w:rFonts w:cs="Verdana"/>
          <w:szCs w:val="18"/>
        </w:rPr>
      </w:pPr>
      <w:r>
        <w:rPr>
          <w:rFonts w:cs="Verdana"/>
          <w:szCs w:val="18"/>
        </w:rPr>
        <w:t>3. Indien de exploitant van cryptoactiva die een rapporterende aanbieder van cryptoactivadiensten is zich in Nederland registreert, kent Onze Minister hem een individueel registratienummer toe.</w:t>
      </w:r>
    </w:p>
    <w:p w14:paraId="6D6E5309" w14:textId="0D523377" w:rsidR="00BE6434" w:rsidRDefault="00BE6434" w:rsidP="00BE6434">
      <w:pPr>
        <w:autoSpaceDE w:val="0"/>
        <w:autoSpaceDN w:val="0"/>
        <w:adjustRightInd w:val="0"/>
        <w:rPr>
          <w:rFonts w:cs="Verdana"/>
          <w:szCs w:val="18"/>
        </w:rPr>
      </w:pPr>
      <w:r>
        <w:rPr>
          <w:rFonts w:cs="Verdana"/>
          <w:szCs w:val="18"/>
        </w:rPr>
        <w:t>Onze Minister deelt dit individuele registratienummer via elektronische weg mee aan de bevoegde</w:t>
      </w:r>
      <w:r w:rsidR="005F28A4">
        <w:rPr>
          <w:rFonts w:cs="Verdana"/>
          <w:szCs w:val="18"/>
        </w:rPr>
        <w:t xml:space="preserve"> autoriteiten van alle lidstaten.</w:t>
      </w:r>
    </w:p>
    <w:p w14:paraId="57BFE9C3" w14:textId="77777777" w:rsidR="00BE6434" w:rsidRDefault="00BE6434" w:rsidP="00BE6434">
      <w:pPr>
        <w:autoSpaceDE w:val="0"/>
        <w:autoSpaceDN w:val="0"/>
        <w:adjustRightInd w:val="0"/>
        <w:rPr>
          <w:rFonts w:cs="Verdana"/>
          <w:szCs w:val="18"/>
        </w:rPr>
      </w:pPr>
      <w:r>
        <w:rPr>
          <w:rFonts w:cs="Verdana"/>
          <w:szCs w:val="18"/>
        </w:rPr>
        <w:t>4. De exploitant van cryptoactiva verstrekt bij registratie aan Onze Minister de volgende gegevens</w:t>
      </w:r>
    </w:p>
    <w:p w14:paraId="7877BA73" w14:textId="77777777" w:rsidR="00BE6434" w:rsidRDefault="00BE6434" w:rsidP="00BE6434">
      <w:pPr>
        <w:autoSpaceDE w:val="0"/>
        <w:autoSpaceDN w:val="0"/>
        <w:adjustRightInd w:val="0"/>
        <w:rPr>
          <w:rFonts w:cs="Verdana"/>
          <w:szCs w:val="18"/>
        </w:rPr>
      </w:pPr>
      <w:r>
        <w:rPr>
          <w:rFonts w:cs="Verdana"/>
          <w:szCs w:val="18"/>
        </w:rPr>
        <w:t>en inlichtingen:</w:t>
      </w:r>
    </w:p>
    <w:p w14:paraId="2438BB1A" w14:textId="77777777" w:rsidR="00BE6434" w:rsidRDefault="00BE6434" w:rsidP="00BE6434">
      <w:pPr>
        <w:autoSpaceDE w:val="0"/>
        <w:autoSpaceDN w:val="0"/>
        <w:adjustRightInd w:val="0"/>
        <w:rPr>
          <w:rFonts w:cs="Verdana"/>
          <w:szCs w:val="18"/>
        </w:rPr>
      </w:pPr>
      <w:r>
        <w:rPr>
          <w:rFonts w:cs="Verdana"/>
          <w:szCs w:val="18"/>
        </w:rPr>
        <w:t>a. zijn naam;</w:t>
      </w:r>
    </w:p>
    <w:p w14:paraId="2F6E8886" w14:textId="77777777" w:rsidR="00BE6434" w:rsidRDefault="00BE6434" w:rsidP="00BE6434">
      <w:pPr>
        <w:autoSpaceDE w:val="0"/>
        <w:autoSpaceDN w:val="0"/>
        <w:adjustRightInd w:val="0"/>
        <w:rPr>
          <w:rFonts w:cs="Verdana"/>
          <w:szCs w:val="18"/>
        </w:rPr>
      </w:pPr>
      <w:r>
        <w:rPr>
          <w:rFonts w:cs="Verdana"/>
          <w:szCs w:val="18"/>
        </w:rPr>
        <w:t>b. zijn postadres;</w:t>
      </w:r>
    </w:p>
    <w:p w14:paraId="3E78395F" w14:textId="77777777" w:rsidR="00BE6434" w:rsidRDefault="00BE6434" w:rsidP="00BE6434">
      <w:pPr>
        <w:autoSpaceDE w:val="0"/>
        <w:autoSpaceDN w:val="0"/>
        <w:adjustRightInd w:val="0"/>
        <w:rPr>
          <w:rFonts w:cs="Verdana"/>
          <w:szCs w:val="18"/>
        </w:rPr>
      </w:pPr>
      <w:r>
        <w:rPr>
          <w:rFonts w:cs="Verdana"/>
          <w:szCs w:val="18"/>
        </w:rPr>
        <w:t>c. zijn elektronische adressen, met inbegrip van websites;</w:t>
      </w:r>
    </w:p>
    <w:p w14:paraId="253DD04C" w14:textId="77777777" w:rsidR="00BE6434" w:rsidRDefault="00BE6434" w:rsidP="00BE6434">
      <w:pPr>
        <w:autoSpaceDE w:val="0"/>
        <w:autoSpaceDN w:val="0"/>
        <w:adjustRightInd w:val="0"/>
        <w:rPr>
          <w:rFonts w:cs="Verdana"/>
          <w:szCs w:val="18"/>
        </w:rPr>
      </w:pPr>
      <w:r>
        <w:rPr>
          <w:rFonts w:cs="Verdana"/>
          <w:szCs w:val="18"/>
        </w:rPr>
        <w:t>d. fiscale identificatienummers die aan hem zijn toegekend;</w:t>
      </w:r>
    </w:p>
    <w:p w14:paraId="4F6CC4D5" w14:textId="77777777" w:rsidR="00BE6434" w:rsidRDefault="00BE6434" w:rsidP="00BE6434">
      <w:pPr>
        <w:autoSpaceDE w:val="0"/>
        <w:autoSpaceDN w:val="0"/>
        <w:adjustRightInd w:val="0"/>
        <w:rPr>
          <w:rFonts w:cs="Verdana"/>
          <w:szCs w:val="18"/>
        </w:rPr>
      </w:pPr>
      <w:r>
        <w:rPr>
          <w:rFonts w:cs="Verdana"/>
          <w:szCs w:val="18"/>
        </w:rPr>
        <w:t>e. een overzicht van de lidstaten waarvan de te rapporteren gebruikers ingezetenen zijn als bedoeld in bijlage VI, deel III, onderdelen A en B, van Richtlijn 2011/16/EU; en</w:t>
      </w:r>
    </w:p>
    <w:p w14:paraId="1AC7F553" w14:textId="77777777" w:rsidR="00BE6434" w:rsidRDefault="00BE6434" w:rsidP="00BE6434">
      <w:pPr>
        <w:autoSpaceDE w:val="0"/>
        <w:autoSpaceDN w:val="0"/>
        <w:adjustRightInd w:val="0"/>
        <w:rPr>
          <w:rFonts w:cs="Verdana"/>
          <w:szCs w:val="18"/>
        </w:rPr>
      </w:pPr>
      <w:r>
        <w:rPr>
          <w:rFonts w:cs="Verdana"/>
          <w:szCs w:val="18"/>
        </w:rPr>
        <w:t>f. een overzicht van elk gekwalificeerd niet-Unierechtsgebied als bedoeld in artikel 10oc, eerste lid, onderdeel a, tot en met d, of tweede lid.</w:t>
      </w:r>
    </w:p>
    <w:p w14:paraId="041B31BF" w14:textId="77777777" w:rsidR="00BE6434" w:rsidRDefault="00BE6434" w:rsidP="00BE6434">
      <w:pPr>
        <w:autoSpaceDE w:val="0"/>
        <w:autoSpaceDN w:val="0"/>
        <w:adjustRightInd w:val="0"/>
        <w:rPr>
          <w:rFonts w:cs="Verdana"/>
          <w:szCs w:val="18"/>
        </w:rPr>
      </w:pPr>
      <w:r>
        <w:rPr>
          <w:rFonts w:cs="Verdana"/>
          <w:szCs w:val="18"/>
        </w:rPr>
        <w:t>5. De exploitant van cryptoactiva die zich in Nederland heeft geregistreerd stelt Onze Minister in kennis van iedere wijziging die zich voordoet ten aanzien van de gegevens en inlichtingen, bedoeld</w:t>
      </w:r>
    </w:p>
    <w:p w14:paraId="22500F88" w14:textId="77777777" w:rsidR="00BE6434" w:rsidRPr="00507B43" w:rsidRDefault="00BE6434" w:rsidP="00BE6434">
      <w:pPr>
        <w:autoSpaceDE w:val="0"/>
        <w:autoSpaceDN w:val="0"/>
        <w:adjustRightInd w:val="0"/>
        <w:rPr>
          <w:rFonts w:cs="Verdana"/>
          <w:szCs w:val="18"/>
        </w:rPr>
      </w:pPr>
      <w:r>
        <w:rPr>
          <w:rFonts w:cs="Verdana"/>
          <w:szCs w:val="18"/>
        </w:rPr>
        <w:t>in het vierde lid.</w:t>
      </w:r>
    </w:p>
    <w:p w14:paraId="74708F26" w14:textId="77777777" w:rsidR="00BE6434" w:rsidRDefault="00BE6434" w:rsidP="00BE6434">
      <w:pPr>
        <w:autoSpaceDE w:val="0"/>
        <w:autoSpaceDN w:val="0"/>
        <w:adjustRightInd w:val="0"/>
        <w:rPr>
          <w:rFonts w:ascii="Verdana-Bold" w:hAnsi="Verdana-Bold" w:cs="Verdana-Bold"/>
          <w:b/>
          <w:bCs/>
          <w:szCs w:val="18"/>
        </w:rPr>
      </w:pPr>
    </w:p>
    <w:p w14:paraId="1D308E3B" w14:textId="77777777" w:rsidR="00BE6434" w:rsidRDefault="00BE6434" w:rsidP="00BE6434">
      <w:pPr>
        <w:autoSpaceDE w:val="0"/>
        <w:autoSpaceDN w:val="0"/>
        <w:adjustRightInd w:val="0"/>
        <w:rPr>
          <w:rFonts w:ascii="Verdana-Bold" w:hAnsi="Verdana-Bold" w:cs="Verdana-Bold"/>
          <w:b/>
          <w:bCs/>
          <w:szCs w:val="18"/>
        </w:rPr>
      </w:pPr>
      <w:r>
        <w:rPr>
          <w:rFonts w:ascii="Verdana-Bold" w:hAnsi="Verdana-Bold" w:cs="Verdana-Bold"/>
          <w:b/>
          <w:bCs/>
          <w:szCs w:val="18"/>
        </w:rPr>
        <w:t>ARTIKEL II</w:t>
      </w:r>
    </w:p>
    <w:p w14:paraId="6ACD36C9" w14:textId="77777777" w:rsidR="00BE6434" w:rsidRDefault="00BE6434" w:rsidP="00BE6434">
      <w:pPr>
        <w:autoSpaceDE w:val="0"/>
        <w:autoSpaceDN w:val="0"/>
        <w:adjustRightInd w:val="0"/>
        <w:rPr>
          <w:rFonts w:cs="Verdana"/>
          <w:szCs w:val="18"/>
        </w:rPr>
      </w:pPr>
      <w:r>
        <w:rPr>
          <w:rFonts w:cs="Verdana"/>
          <w:szCs w:val="18"/>
        </w:rPr>
        <w:t>De Algemene wet inzake rijksbelastingen wordt als volgt gewijzigd:</w:t>
      </w:r>
    </w:p>
    <w:p w14:paraId="5DBBB68D" w14:textId="77777777" w:rsidR="00BE6434" w:rsidRDefault="00BE6434" w:rsidP="00BE6434">
      <w:pPr>
        <w:autoSpaceDE w:val="0"/>
        <w:autoSpaceDN w:val="0"/>
        <w:adjustRightInd w:val="0"/>
        <w:rPr>
          <w:rFonts w:ascii="Verdana-Bold" w:hAnsi="Verdana-Bold" w:cs="Verdana-Bold"/>
          <w:b/>
          <w:bCs/>
          <w:szCs w:val="18"/>
        </w:rPr>
      </w:pPr>
      <w:r>
        <w:rPr>
          <w:rFonts w:ascii="Verdana-Bold" w:hAnsi="Verdana-Bold" w:cs="Verdana-Bold"/>
          <w:b/>
          <w:bCs/>
          <w:szCs w:val="18"/>
        </w:rPr>
        <w:t>B</w:t>
      </w:r>
    </w:p>
    <w:p w14:paraId="0557310B" w14:textId="77777777" w:rsidR="00BE6434" w:rsidRDefault="00BE6434" w:rsidP="00BE6434">
      <w:pPr>
        <w:autoSpaceDE w:val="0"/>
        <w:autoSpaceDN w:val="0"/>
        <w:adjustRightInd w:val="0"/>
        <w:rPr>
          <w:rFonts w:cs="Verdana"/>
          <w:szCs w:val="18"/>
        </w:rPr>
      </w:pPr>
      <w:r>
        <w:rPr>
          <w:rFonts w:cs="Verdana"/>
          <w:szCs w:val="18"/>
        </w:rPr>
        <w:t>Na artikel 53bis een artikel ingevoegd, luidende:</w:t>
      </w:r>
    </w:p>
    <w:p w14:paraId="7D012319" w14:textId="77777777" w:rsidR="00BE6434" w:rsidRDefault="00BE6434" w:rsidP="00BE6434">
      <w:pPr>
        <w:autoSpaceDE w:val="0"/>
        <w:autoSpaceDN w:val="0"/>
        <w:adjustRightInd w:val="0"/>
        <w:rPr>
          <w:rFonts w:ascii="Verdana-Bold" w:hAnsi="Verdana-Bold" w:cs="Verdana-Bold"/>
          <w:b/>
          <w:bCs/>
          <w:szCs w:val="18"/>
        </w:rPr>
      </w:pPr>
    </w:p>
    <w:p w14:paraId="3367D8B0" w14:textId="77777777" w:rsidR="005F28A4" w:rsidRDefault="005F28A4" w:rsidP="00BE6434">
      <w:pPr>
        <w:autoSpaceDE w:val="0"/>
        <w:autoSpaceDN w:val="0"/>
        <w:adjustRightInd w:val="0"/>
        <w:rPr>
          <w:rFonts w:ascii="Verdana-Bold" w:hAnsi="Verdana-Bold" w:cs="Verdana-Bold"/>
          <w:b/>
          <w:bCs/>
          <w:szCs w:val="18"/>
        </w:rPr>
      </w:pPr>
    </w:p>
    <w:p w14:paraId="2FAC6773" w14:textId="45A0584A" w:rsidR="00BE6434" w:rsidRDefault="00BE6434" w:rsidP="00BE6434">
      <w:pPr>
        <w:autoSpaceDE w:val="0"/>
        <w:autoSpaceDN w:val="0"/>
        <w:adjustRightInd w:val="0"/>
        <w:rPr>
          <w:rFonts w:ascii="Verdana-Bold" w:hAnsi="Verdana-Bold" w:cs="Verdana-Bold"/>
          <w:b/>
          <w:bCs/>
          <w:szCs w:val="18"/>
        </w:rPr>
      </w:pPr>
      <w:r>
        <w:rPr>
          <w:rFonts w:ascii="Verdana-Bold" w:hAnsi="Verdana-Bold" w:cs="Verdana-Bold"/>
          <w:b/>
          <w:bCs/>
          <w:szCs w:val="18"/>
        </w:rPr>
        <w:lastRenderedPageBreak/>
        <w:t>Artikel 53ter</w:t>
      </w:r>
    </w:p>
    <w:p w14:paraId="040979E0" w14:textId="77777777" w:rsidR="00BE6434" w:rsidRDefault="00BE6434" w:rsidP="00BE6434">
      <w:pPr>
        <w:autoSpaceDE w:val="0"/>
        <w:autoSpaceDN w:val="0"/>
        <w:adjustRightInd w:val="0"/>
        <w:rPr>
          <w:rFonts w:cs="Verdana"/>
          <w:szCs w:val="18"/>
        </w:rPr>
      </w:pPr>
      <w:r>
        <w:rPr>
          <w:rFonts w:cs="Verdana"/>
          <w:szCs w:val="18"/>
        </w:rPr>
        <w:t>1. Rapporterende aanbieders van cryptoactivadiensten als bedoeld in artikel 10ob, eerste en tweede lid, en 10od, vierde lid, van de Wet op de internationale bijstandsverlening bij de heffing van belastingen, zijn verplicht om gegevens en inlichtingen als bedoeld in artikel 10ob, derde en vierde lid, en artikel 10od, vijfde lid, van de Wet op de internationale bijstandsverlening bij de heffing van belastingen te rapporteren aan de inspecteur, voor zover de te rapporteren gebruiker,</w:t>
      </w:r>
    </w:p>
    <w:p w14:paraId="7A954AB5" w14:textId="77777777" w:rsidR="00BE6434" w:rsidRDefault="00BE6434" w:rsidP="00BE6434">
      <w:pPr>
        <w:autoSpaceDE w:val="0"/>
        <w:autoSpaceDN w:val="0"/>
        <w:adjustRightInd w:val="0"/>
        <w:rPr>
          <w:rFonts w:cs="Verdana"/>
          <w:szCs w:val="18"/>
        </w:rPr>
      </w:pPr>
      <w:r>
        <w:rPr>
          <w:rFonts w:cs="Verdana"/>
          <w:szCs w:val="18"/>
        </w:rPr>
        <w:t>bedoeld in artikel 2f van de Wet op de internationale bijstandsverlening bij de heffing van belastingen, een ingezetene als bedoeld in bijlage VI, deel III, onderdelen A en B, van Richtlijn 2011/16/EU is van Nederland. De rapporterende aanbieder van cryptoactivadiensten verstrekt de gegevens en inlichtingen uiterlijk op 31 januari van het jaar dat volgt op het kalenderjaar waarop de gegevens en inlichtingen betrekking hebben en voor het eerst uiterlijk op 31 januari 2027 met</w:t>
      </w:r>
    </w:p>
    <w:p w14:paraId="4C5FF4C5" w14:textId="77777777" w:rsidR="00BE6434" w:rsidRDefault="00BE6434" w:rsidP="00BE6434">
      <w:pPr>
        <w:autoSpaceDE w:val="0"/>
        <w:autoSpaceDN w:val="0"/>
        <w:adjustRightInd w:val="0"/>
        <w:rPr>
          <w:rFonts w:cs="Verdana"/>
          <w:szCs w:val="18"/>
        </w:rPr>
      </w:pPr>
      <w:r>
        <w:rPr>
          <w:rFonts w:cs="Verdana"/>
          <w:szCs w:val="18"/>
        </w:rPr>
        <w:t>betrekking tot de gegevens en inlichtingen die betrekking hebben op het kalenderjaar 2026.</w:t>
      </w:r>
    </w:p>
    <w:p w14:paraId="183DFC84" w14:textId="77777777" w:rsidR="00BE6434" w:rsidRDefault="00BE6434" w:rsidP="00BE6434">
      <w:pPr>
        <w:autoSpaceDE w:val="0"/>
        <w:autoSpaceDN w:val="0"/>
        <w:adjustRightInd w:val="0"/>
        <w:rPr>
          <w:rFonts w:cs="Verdana"/>
          <w:szCs w:val="18"/>
        </w:rPr>
      </w:pPr>
      <w:r>
        <w:rPr>
          <w:rFonts w:cs="Verdana"/>
          <w:szCs w:val="18"/>
        </w:rPr>
        <w:t>2. Artikel 10oa van de Wet op de internationale bijstandsverlening bij de heffing van belastingen en de daarop berustende bepalingen zijn van overeenkomstige toepassing voor zover de rapportage ziet op gegevens en inlichtingen als bedoeld in het eerste lid.</w:t>
      </w:r>
    </w:p>
    <w:p w14:paraId="1D0D0A5B" w14:textId="77777777" w:rsidR="00BE6434" w:rsidRDefault="00BE6434" w:rsidP="00BE6434">
      <w:pPr>
        <w:autoSpaceDE w:val="0"/>
        <w:autoSpaceDN w:val="0"/>
        <w:adjustRightInd w:val="0"/>
        <w:rPr>
          <w:rFonts w:cs="Verdana"/>
          <w:szCs w:val="18"/>
        </w:rPr>
      </w:pPr>
      <w:r>
        <w:rPr>
          <w:rFonts w:cs="Verdana"/>
          <w:szCs w:val="18"/>
        </w:rPr>
        <w:t>3. De artikelen 10oc, 10oe en 10p van de Wet op de internationale bijstandsverlening bij de heffing van belastingen zijn van overeenkomstige toepassing op de rapporterende aanbieder van cryptoactivadiensten, bedoeld in het eerste lid, met het oog op het door die aanbieder van cryptoactivadiensten rapporteren van gegevens en inlichtingen, bedoeld in het eerste lid.</w:t>
      </w:r>
    </w:p>
    <w:p w14:paraId="1852F398" w14:textId="77777777" w:rsidR="00BE6434" w:rsidRDefault="00BE6434" w:rsidP="00BE6434">
      <w:pPr>
        <w:autoSpaceDE w:val="0"/>
        <w:autoSpaceDN w:val="0"/>
        <w:adjustRightInd w:val="0"/>
        <w:rPr>
          <w:rFonts w:cs="Verdana"/>
          <w:szCs w:val="18"/>
        </w:rPr>
      </w:pPr>
      <w:r>
        <w:rPr>
          <w:rFonts w:cs="Verdana"/>
          <w:szCs w:val="18"/>
        </w:rPr>
        <w:t>4. Indien het aan opzet of grove schuld van de rapporterende aanbieder van cryptoactivadiensten, bedoeld in het eerste lid, is te wijten dat de verplichtingen die volgen uit het eerste, tweede en derde lid niet, niet tijdig, niet volledig of niet juist zijn of worden nagekomen, vormt dit een vergrijp ter zake waarvan Onze Minister hem een bestuurlijke boete van ten hoogste het bedrag van de zesde categorie, bedoeld in artikel 23, vierde lid, van het Wetboek van Strafrecht, kan</w:t>
      </w:r>
    </w:p>
    <w:p w14:paraId="4157B9FA" w14:textId="77777777" w:rsidR="00BE6434" w:rsidRDefault="00BE6434" w:rsidP="00BE6434">
      <w:pPr>
        <w:autoSpaceDE w:val="0"/>
        <w:autoSpaceDN w:val="0"/>
        <w:adjustRightInd w:val="0"/>
        <w:rPr>
          <w:rFonts w:cs="Verdana"/>
          <w:szCs w:val="18"/>
        </w:rPr>
      </w:pPr>
      <w:r>
        <w:rPr>
          <w:rFonts w:cs="Verdana"/>
          <w:szCs w:val="18"/>
        </w:rPr>
        <w:t>opleggen.</w:t>
      </w:r>
    </w:p>
    <w:p w14:paraId="5D8688A8" w14:textId="77777777" w:rsidR="00BE6434" w:rsidRPr="00372107" w:rsidRDefault="00BE6434" w:rsidP="00BE6434">
      <w:pPr>
        <w:autoSpaceDE w:val="0"/>
        <w:autoSpaceDN w:val="0"/>
        <w:adjustRightInd w:val="0"/>
        <w:rPr>
          <w:rFonts w:cs="Verdana"/>
          <w:szCs w:val="18"/>
        </w:rPr>
      </w:pPr>
      <w:r>
        <w:rPr>
          <w:rFonts w:cs="Verdana"/>
          <w:szCs w:val="18"/>
        </w:rPr>
        <w:t>5. Bij toepassing van artikel 69 met betrekking tot de verplichtingen die volgen uit het eerste, tweede en derde lid vervalt het vereiste dat het feit ertoe strekt dat te weinig belasting wordt geheven.</w:t>
      </w:r>
    </w:p>
    <w:p w14:paraId="0D3570E6" w14:textId="77777777" w:rsidR="00BE6434" w:rsidRDefault="00BE6434" w:rsidP="00BE6434">
      <w:pPr>
        <w:autoSpaceDE w:val="0"/>
        <w:autoSpaceDN w:val="0"/>
        <w:adjustRightInd w:val="0"/>
        <w:rPr>
          <w:rFonts w:ascii="Verdana-Bold" w:hAnsi="Verdana-Bold" w:cs="Verdana-Bold"/>
          <w:b/>
          <w:bCs/>
          <w:szCs w:val="18"/>
        </w:rPr>
      </w:pPr>
    </w:p>
    <w:p w14:paraId="5638CF31" w14:textId="77777777" w:rsidR="00BE6434" w:rsidRDefault="00BE6434" w:rsidP="00BE6434">
      <w:pPr>
        <w:autoSpaceDE w:val="0"/>
        <w:autoSpaceDN w:val="0"/>
        <w:adjustRightInd w:val="0"/>
        <w:rPr>
          <w:rFonts w:ascii="Verdana-Bold" w:hAnsi="Verdana-Bold" w:cs="Verdana-Bold"/>
          <w:b/>
          <w:bCs/>
          <w:szCs w:val="18"/>
        </w:rPr>
      </w:pPr>
      <w:r>
        <w:rPr>
          <w:rFonts w:ascii="Verdana-Bold" w:hAnsi="Verdana-Bold" w:cs="Verdana-Bold"/>
          <w:b/>
          <w:bCs/>
          <w:szCs w:val="18"/>
        </w:rPr>
        <w:t>ARTIKEL IV</w:t>
      </w:r>
    </w:p>
    <w:p w14:paraId="5C716803" w14:textId="77777777" w:rsidR="00BE6434" w:rsidRDefault="00BE6434" w:rsidP="00BE6434">
      <w:pPr>
        <w:autoSpaceDE w:val="0"/>
        <w:autoSpaceDN w:val="0"/>
        <w:adjustRightInd w:val="0"/>
        <w:rPr>
          <w:rFonts w:ascii="Verdana-Bold" w:hAnsi="Verdana-Bold" w:cs="Verdana-Bold"/>
          <w:b/>
          <w:bCs/>
          <w:szCs w:val="18"/>
        </w:rPr>
      </w:pPr>
    </w:p>
    <w:p w14:paraId="05B0136F" w14:textId="77777777" w:rsidR="00BE6434" w:rsidRPr="00C21CE2" w:rsidRDefault="00BE6434" w:rsidP="00BE6434">
      <w:pPr>
        <w:autoSpaceDE w:val="0"/>
        <w:autoSpaceDN w:val="0"/>
        <w:adjustRightInd w:val="0"/>
        <w:rPr>
          <w:rFonts w:cs="Verdana"/>
          <w:szCs w:val="18"/>
        </w:rPr>
      </w:pPr>
      <w:r>
        <w:rPr>
          <w:rFonts w:cs="Verdana"/>
          <w:szCs w:val="18"/>
        </w:rPr>
        <w:t>2. Met betrekking tot rapportageperioden die eindigen op 31 december 2027 dient een rapporterende financiële instelling inlichtingen betreffende de rol of rollen als bedoeld in artikel10b, eerste lid, onderdeel c, onder 2° en 10c, eerste lid, onderdeel d, uitsluitend te rapporteren indien die inlichtingen beschikbaar zijn in de elektronisch doorzoekbare gegevens die door de rapporterende financiële instelling worden beheerd.</w:t>
      </w:r>
    </w:p>
    <w:p w14:paraId="4EE642B8" w14:textId="77777777" w:rsidR="00BE6434" w:rsidRDefault="00BE6434" w:rsidP="00BE6434">
      <w:pPr>
        <w:autoSpaceDE w:val="0"/>
        <w:autoSpaceDN w:val="0"/>
        <w:adjustRightInd w:val="0"/>
        <w:rPr>
          <w:rFonts w:ascii="Verdana-Bold" w:hAnsi="Verdana-Bold" w:cs="Verdana-Bold"/>
          <w:b/>
          <w:bCs/>
          <w:szCs w:val="18"/>
        </w:rPr>
      </w:pPr>
    </w:p>
    <w:p w14:paraId="729A6BED" w14:textId="77777777" w:rsidR="00BE6434" w:rsidRDefault="00BE6434" w:rsidP="00BE6434">
      <w:pPr>
        <w:autoSpaceDE w:val="0"/>
        <w:autoSpaceDN w:val="0"/>
        <w:adjustRightInd w:val="0"/>
        <w:rPr>
          <w:rFonts w:ascii="Verdana-Bold" w:hAnsi="Verdana-Bold" w:cs="Verdana-Bold"/>
          <w:b/>
          <w:bCs/>
          <w:szCs w:val="18"/>
        </w:rPr>
      </w:pPr>
      <w:r>
        <w:rPr>
          <w:rFonts w:ascii="Verdana-Bold" w:hAnsi="Verdana-Bold" w:cs="Verdana-Bold"/>
          <w:b/>
          <w:bCs/>
          <w:szCs w:val="18"/>
        </w:rPr>
        <w:t>ARTIKEL V</w:t>
      </w:r>
    </w:p>
    <w:p w14:paraId="292B5032" w14:textId="77777777" w:rsidR="00BE6434" w:rsidRDefault="00BE6434" w:rsidP="00BE6434">
      <w:pPr>
        <w:autoSpaceDE w:val="0"/>
        <w:autoSpaceDN w:val="0"/>
        <w:adjustRightInd w:val="0"/>
        <w:rPr>
          <w:rFonts w:cs="Verdana"/>
          <w:szCs w:val="18"/>
        </w:rPr>
      </w:pPr>
      <w:r>
        <w:rPr>
          <w:rFonts w:cs="Verdana"/>
          <w:szCs w:val="18"/>
        </w:rPr>
        <w:t>Deze wet treedt in werking met ingang van 1 januari 2026.</w:t>
      </w:r>
    </w:p>
    <w:p w14:paraId="7DB0539F" w14:textId="77777777" w:rsidR="00BE6434" w:rsidRDefault="00BE6434" w:rsidP="00BE6434">
      <w:pPr>
        <w:autoSpaceDE w:val="0"/>
        <w:autoSpaceDN w:val="0"/>
        <w:adjustRightInd w:val="0"/>
        <w:rPr>
          <w:rFonts w:ascii="Verdana-Bold" w:hAnsi="Verdana-Bold" w:cs="Verdana-Bold"/>
          <w:b/>
          <w:bCs/>
          <w:szCs w:val="18"/>
        </w:rPr>
      </w:pPr>
    </w:p>
    <w:p w14:paraId="7084E336" w14:textId="77777777" w:rsidR="00BE6434" w:rsidRDefault="00BE6434" w:rsidP="00BE6434">
      <w:pPr>
        <w:autoSpaceDE w:val="0"/>
        <w:autoSpaceDN w:val="0"/>
        <w:adjustRightInd w:val="0"/>
        <w:rPr>
          <w:rFonts w:ascii="Verdana-Bold" w:hAnsi="Verdana-Bold" w:cs="Verdana-Bold"/>
          <w:b/>
          <w:bCs/>
          <w:szCs w:val="18"/>
        </w:rPr>
      </w:pPr>
      <w:r>
        <w:rPr>
          <w:rFonts w:ascii="Verdana-Bold" w:hAnsi="Verdana-Bold" w:cs="Verdana-Bold"/>
          <w:b/>
          <w:bCs/>
          <w:szCs w:val="18"/>
        </w:rPr>
        <w:t>ARTIKEL VI</w:t>
      </w:r>
    </w:p>
    <w:p w14:paraId="350D708D" w14:textId="77777777" w:rsidR="00BE6434" w:rsidRDefault="00BE6434" w:rsidP="00BE6434">
      <w:pPr>
        <w:autoSpaceDE w:val="0"/>
        <w:autoSpaceDN w:val="0"/>
        <w:adjustRightInd w:val="0"/>
        <w:rPr>
          <w:rFonts w:ascii="Verdana-Bold" w:hAnsi="Verdana-Bold" w:cs="Verdana-Bold"/>
          <w:b/>
          <w:bCs/>
          <w:szCs w:val="18"/>
        </w:rPr>
      </w:pPr>
      <w:r>
        <w:rPr>
          <w:rFonts w:cs="Verdana"/>
          <w:szCs w:val="18"/>
        </w:rPr>
        <w:t>Deze wet wordt aangehaald als: Wet implementatie EU-richtlijn gegevensuitwisseling cryptoactiva.</w:t>
      </w:r>
    </w:p>
    <w:p w14:paraId="04CC0E1C" w14:textId="77777777" w:rsidR="00BE6434" w:rsidRPr="00BE6434" w:rsidRDefault="00BE6434" w:rsidP="00BE6434"/>
    <w:p w14:paraId="19956CA6" w14:textId="77777777" w:rsidR="00BE6434" w:rsidRPr="00BE6434" w:rsidRDefault="00BE6434" w:rsidP="00BE6434"/>
    <w:p w14:paraId="4132910B" w14:textId="52FACA03" w:rsidR="0059390F" w:rsidRPr="00386E3F" w:rsidRDefault="00BE6434" w:rsidP="00BE6434">
      <w:pPr>
        <w:pStyle w:val="Kop1"/>
        <w:numPr>
          <w:ilvl w:val="0"/>
          <w:numId w:val="0"/>
        </w:numPr>
        <w:rPr>
          <w:rStyle w:val="Kop1Char"/>
        </w:rPr>
      </w:pPr>
      <w:bookmarkStart w:id="116" w:name="_Toc207732176"/>
      <w:r>
        <w:rPr>
          <w:rStyle w:val="Kop1Char"/>
        </w:rPr>
        <w:lastRenderedPageBreak/>
        <w:t xml:space="preserve">Bijlage 2 </w:t>
      </w:r>
      <w:r w:rsidR="00A7795E" w:rsidRPr="00386E3F">
        <w:rPr>
          <w:rStyle w:val="Kop1Char"/>
        </w:rPr>
        <w:t>V</w:t>
      </w:r>
      <w:r w:rsidR="0059390F" w:rsidRPr="00386E3F">
        <w:rPr>
          <w:rStyle w:val="Kop1Char"/>
        </w:rPr>
        <w:t>erklarende woordenlijst</w:t>
      </w:r>
      <w:bookmarkEnd w:id="108"/>
      <w:bookmarkEnd w:id="109"/>
      <w:bookmarkEnd w:id="110"/>
      <w:bookmarkEnd w:id="111"/>
      <w:bookmarkEnd w:id="112"/>
      <w:bookmarkEnd w:id="113"/>
      <w:bookmarkEnd w:id="114"/>
      <w:bookmarkEnd w:id="115"/>
      <w:bookmarkEnd w:id="116"/>
    </w:p>
    <w:tbl>
      <w:tblP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000" w:firstRow="0" w:lastRow="0" w:firstColumn="0" w:lastColumn="0" w:noHBand="0" w:noVBand="0"/>
      </w:tblPr>
      <w:tblGrid>
        <w:gridCol w:w="1843"/>
        <w:gridCol w:w="5812"/>
      </w:tblGrid>
      <w:tr w:rsidR="0059390F" w:rsidRPr="00386E3F" w14:paraId="6FA99E65" w14:textId="77777777" w:rsidTr="008153DE">
        <w:trPr>
          <w:tblHeader/>
        </w:trPr>
        <w:tc>
          <w:tcPr>
            <w:tcW w:w="1843" w:type="dxa"/>
          </w:tcPr>
          <w:p w14:paraId="4BF327E4" w14:textId="77777777" w:rsidR="0059390F" w:rsidRPr="00425E41" w:rsidRDefault="0059390F" w:rsidP="00C443C6">
            <w:pPr>
              <w:suppressAutoHyphens/>
              <w:snapToGrid w:val="0"/>
              <w:spacing w:line="200" w:lineRule="atLeast"/>
              <w:rPr>
                <w:b/>
                <w:color w:val="00B050"/>
                <w:szCs w:val="18"/>
                <w:lang w:eastAsia="zh-CN"/>
              </w:rPr>
            </w:pPr>
            <w:r w:rsidRPr="00425E41">
              <w:rPr>
                <w:b/>
                <w:szCs w:val="18"/>
                <w:lang w:eastAsia="zh-CN"/>
              </w:rPr>
              <w:t>Begrip</w:t>
            </w:r>
          </w:p>
        </w:tc>
        <w:tc>
          <w:tcPr>
            <w:tcW w:w="5812" w:type="dxa"/>
            <w:vAlign w:val="center"/>
          </w:tcPr>
          <w:p w14:paraId="4A4E27F3" w14:textId="77777777" w:rsidR="0059390F" w:rsidRPr="00425E41" w:rsidRDefault="0059390F" w:rsidP="00C443C6">
            <w:pPr>
              <w:suppressAutoHyphens/>
              <w:snapToGrid w:val="0"/>
              <w:spacing w:line="200" w:lineRule="atLeast"/>
              <w:rPr>
                <w:b/>
                <w:szCs w:val="18"/>
                <w:lang w:eastAsia="zh-CN"/>
              </w:rPr>
            </w:pPr>
            <w:r w:rsidRPr="00425E41">
              <w:rPr>
                <w:b/>
                <w:szCs w:val="18"/>
                <w:lang w:eastAsia="zh-CN"/>
              </w:rPr>
              <w:t>Betekenis</w:t>
            </w:r>
          </w:p>
          <w:p w14:paraId="335F721D" w14:textId="77777777" w:rsidR="0059390F" w:rsidRPr="00425E41" w:rsidRDefault="0059390F" w:rsidP="00C443C6">
            <w:pPr>
              <w:spacing w:line="200" w:lineRule="atLeast"/>
              <w:rPr>
                <w:color w:val="00B050"/>
                <w:szCs w:val="18"/>
              </w:rPr>
            </w:pPr>
          </w:p>
        </w:tc>
      </w:tr>
      <w:tr w:rsidR="002A15E3" w:rsidRPr="00A07D39" w14:paraId="2AA33EBA" w14:textId="77777777" w:rsidTr="00981AEE">
        <w:trPr>
          <w:trHeight w:val="321"/>
        </w:trPr>
        <w:tc>
          <w:tcPr>
            <w:tcW w:w="1843" w:type="dxa"/>
          </w:tcPr>
          <w:p w14:paraId="4003FACD" w14:textId="761AF27E" w:rsidR="002A15E3" w:rsidRPr="00425E41" w:rsidRDefault="00557BCF" w:rsidP="00C443C6">
            <w:pPr>
              <w:pStyle w:val="Huisstijl-TabelTekst"/>
              <w:spacing w:line="200" w:lineRule="atLeast"/>
              <w:rPr>
                <w:sz w:val="18"/>
                <w:szCs w:val="18"/>
                <w:lang w:eastAsia="zh-CN"/>
              </w:rPr>
            </w:pPr>
            <w:r>
              <w:rPr>
                <w:sz w:val="18"/>
                <w:szCs w:val="18"/>
                <w:lang w:eastAsia="zh-CN"/>
              </w:rPr>
              <w:t>Berichtgever:</w:t>
            </w:r>
          </w:p>
        </w:tc>
        <w:tc>
          <w:tcPr>
            <w:tcW w:w="5812" w:type="dxa"/>
            <w:vAlign w:val="center"/>
          </w:tcPr>
          <w:p w14:paraId="73B966A2" w14:textId="519E524A" w:rsidR="00253E99" w:rsidRPr="00A07D39" w:rsidRDefault="007E5EF1" w:rsidP="00A07D39">
            <w:pPr>
              <w:autoSpaceDE w:val="0"/>
              <w:autoSpaceDN w:val="0"/>
              <w:adjustRightInd w:val="0"/>
              <w:rPr>
                <w:szCs w:val="18"/>
                <w:lang w:eastAsia="zh-CN"/>
              </w:rPr>
            </w:pPr>
            <w:r w:rsidRPr="003F5712">
              <w:t>Een berichtgever is de organisatie die de feitelijke aanlevering verzorgt namens de formele eigenaar van de gegevens (mogelijk is hij zelf eigenaar).</w:t>
            </w:r>
          </w:p>
        </w:tc>
      </w:tr>
      <w:tr w:rsidR="002A15E3" w:rsidRPr="00386E3F" w14:paraId="6622F037" w14:textId="77777777" w:rsidTr="00981AEE">
        <w:trPr>
          <w:trHeight w:val="321"/>
        </w:trPr>
        <w:tc>
          <w:tcPr>
            <w:tcW w:w="1843" w:type="dxa"/>
          </w:tcPr>
          <w:p w14:paraId="53AA325F" w14:textId="243F5A5D" w:rsidR="002A15E3" w:rsidRPr="00425E41" w:rsidRDefault="00A07D39" w:rsidP="00C443C6">
            <w:pPr>
              <w:pStyle w:val="Huisstijl-TabelTekst"/>
              <w:spacing w:line="200" w:lineRule="atLeast"/>
              <w:rPr>
                <w:sz w:val="18"/>
                <w:szCs w:val="18"/>
                <w:lang w:eastAsia="zh-CN"/>
              </w:rPr>
            </w:pPr>
            <w:r>
              <w:rPr>
                <w:sz w:val="18"/>
                <w:szCs w:val="18"/>
                <w:lang w:eastAsia="zh-CN"/>
              </w:rPr>
              <w:t>Bron</w:t>
            </w:r>
            <w:r w:rsidR="005F28A4">
              <w:rPr>
                <w:sz w:val="18"/>
                <w:szCs w:val="18"/>
                <w:lang w:eastAsia="zh-CN"/>
              </w:rPr>
              <w:t>:</w:t>
            </w:r>
          </w:p>
        </w:tc>
        <w:tc>
          <w:tcPr>
            <w:tcW w:w="5812" w:type="dxa"/>
            <w:vAlign w:val="center"/>
          </w:tcPr>
          <w:p w14:paraId="435B4752" w14:textId="77777777" w:rsidR="00A07D39" w:rsidRPr="00425E41" w:rsidRDefault="00A07D39" w:rsidP="00A07D39">
            <w:pPr>
              <w:autoSpaceDE w:val="0"/>
              <w:autoSpaceDN w:val="0"/>
              <w:adjustRightInd w:val="0"/>
              <w:rPr>
                <w:szCs w:val="18"/>
                <w:lang w:eastAsia="zh-CN"/>
              </w:rPr>
            </w:pPr>
            <w:r w:rsidRPr="00425E41">
              <w:rPr>
                <w:szCs w:val="18"/>
              </w:rPr>
              <w:t>Een bron is de formele eigenaar van de gegevens en is verplicht tot de gegevensaanlevering.</w:t>
            </w:r>
          </w:p>
          <w:p w14:paraId="1FCBE258" w14:textId="77777777" w:rsidR="00A07D39" w:rsidRPr="00425E41" w:rsidRDefault="00A07D39" w:rsidP="00A07D39">
            <w:pPr>
              <w:autoSpaceDE w:val="0"/>
              <w:autoSpaceDN w:val="0"/>
              <w:adjustRightInd w:val="0"/>
              <w:rPr>
                <w:szCs w:val="18"/>
                <w:lang w:eastAsia="zh-CN"/>
              </w:rPr>
            </w:pPr>
          </w:p>
          <w:p w14:paraId="6BB6FD5E" w14:textId="77777777" w:rsidR="00253E99" w:rsidRPr="00425E41" w:rsidRDefault="00253E99" w:rsidP="00981AEE">
            <w:pPr>
              <w:autoSpaceDE w:val="0"/>
              <w:autoSpaceDN w:val="0"/>
              <w:adjustRightInd w:val="0"/>
              <w:rPr>
                <w:szCs w:val="18"/>
                <w:lang w:eastAsia="zh-CN"/>
              </w:rPr>
            </w:pPr>
          </w:p>
        </w:tc>
      </w:tr>
      <w:tr w:rsidR="002A15E3" w:rsidRPr="00386E3F" w14:paraId="747D5825" w14:textId="77777777" w:rsidTr="00981AEE">
        <w:trPr>
          <w:trHeight w:val="277"/>
        </w:trPr>
        <w:tc>
          <w:tcPr>
            <w:tcW w:w="1843" w:type="dxa"/>
          </w:tcPr>
          <w:p w14:paraId="6F8DA5C9" w14:textId="43BEA0C6" w:rsidR="002A15E3" w:rsidRPr="00425E41" w:rsidRDefault="0047406A" w:rsidP="00C443C6">
            <w:pPr>
              <w:pStyle w:val="Huisstijl-TabelTekst"/>
              <w:spacing w:line="200" w:lineRule="atLeast"/>
              <w:rPr>
                <w:sz w:val="18"/>
                <w:szCs w:val="18"/>
                <w:lang w:eastAsia="zh-CN"/>
              </w:rPr>
            </w:pPr>
            <w:r w:rsidRPr="00425E41">
              <w:rPr>
                <w:sz w:val="18"/>
                <w:szCs w:val="18"/>
                <w:lang w:eastAsia="zh-CN"/>
              </w:rPr>
              <w:t xml:space="preserve">rapport </w:t>
            </w:r>
            <w:r w:rsidR="002A15E3" w:rsidRPr="00425E41">
              <w:rPr>
                <w:sz w:val="18"/>
                <w:szCs w:val="18"/>
                <w:lang w:eastAsia="zh-CN"/>
              </w:rPr>
              <w:t>van bevindingen</w:t>
            </w:r>
            <w:r w:rsidR="005F28A4">
              <w:rPr>
                <w:sz w:val="18"/>
                <w:szCs w:val="18"/>
                <w:lang w:eastAsia="zh-CN"/>
              </w:rPr>
              <w:t>:</w:t>
            </w:r>
          </w:p>
        </w:tc>
        <w:tc>
          <w:tcPr>
            <w:tcW w:w="5812" w:type="dxa"/>
            <w:vAlign w:val="center"/>
          </w:tcPr>
          <w:p w14:paraId="281E0163" w14:textId="77777777" w:rsidR="002A15E3" w:rsidRPr="00425E41" w:rsidRDefault="002A15E3" w:rsidP="00981AEE">
            <w:pPr>
              <w:autoSpaceDE w:val="0"/>
              <w:autoSpaceDN w:val="0"/>
              <w:adjustRightInd w:val="0"/>
              <w:rPr>
                <w:szCs w:val="18"/>
                <w:lang w:eastAsia="zh-CN"/>
              </w:rPr>
            </w:pPr>
            <w:r w:rsidRPr="00425E41">
              <w:rPr>
                <w:szCs w:val="18"/>
                <w:lang w:eastAsia="zh-CN"/>
              </w:rPr>
              <w:t>Rapportage die naast bevindingen over (de kwaliteit van) de gegevensaanlevering van het lopende jaar en eventuele daaruit voortvloeiende correctieve acties, ook aanbevelingen bevat voor aanpassing van het beheersingsraamwerk van het aanleveringsproces voor het komende jaar.</w:t>
            </w:r>
          </w:p>
          <w:p w14:paraId="22280610" w14:textId="77777777" w:rsidR="00253E99" w:rsidRPr="00425E41" w:rsidRDefault="00253E99" w:rsidP="00981AEE">
            <w:pPr>
              <w:autoSpaceDE w:val="0"/>
              <w:autoSpaceDN w:val="0"/>
              <w:adjustRightInd w:val="0"/>
              <w:rPr>
                <w:szCs w:val="18"/>
                <w:lang w:eastAsia="zh-CN"/>
              </w:rPr>
            </w:pPr>
          </w:p>
        </w:tc>
      </w:tr>
      <w:tr w:rsidR="002A15E3" w:rsidRPr="00386E3F" w14:paraId="1C64CD8B" w14:textId="77777777" w:rsidTr="00981AEE">
        <w:trPr>
          <w:trHeight w:val="680"/>
        </w:trPr>
        <w:tc>
          <w:tcPr>
            <w:tcW w:w="1843" w:type="dxa"/>
          </w:tcPr>
          <w:p w14:paraId="07AB7676" w14:textId="04D72837" w:rsidR="002A15E3" w:rsidRPr="00425E41" w:rsidRDefault="0047406A" w:rsidP="00C443C6">
            <w:pPr>
              <w:pStyle w:val="Huisstijl-TabelTekst"/>
              <w:spacing w:line="200" w:lineRule="atLeast"/>
              <w:rPr>
                <w:rFonts w:cs="Univers-Oblique"/>
                <w:iCs/>
                <w:sz w:val="18"/>
                <w:szCs w:val="18"/>
              </w:rPr>
            </w:pPr>
            <w:r w:rsidRPr="00425E41">
              <w:rPr>
                <w:rFonts w:cs="Univers-Oblique"/>
                <w:iCs/>
                <w:sz w:val="18"/>
                <w:szCs w:val="18"/>
              </w:rPr>
              <w:t>r</w:t>
            </w:r>
            <w:r w:rsidR="00435D66">
              <w:rPr>
                <w:rFonts w:cs="Univers-Oblique"/>
                <w:iCs/>
                <w:sz w:val="18"/>
                <w:szCs w:val="18"/>
              </w:rPr>
              <w:t xml:space="preserve">apporterende </w:t>
            </w:r>
            <w:r w:rsidR="00526405">
              <w:rPr>
                <w:rFonts w:cs="Univers-Oblique"/>
                <w:iCs/>
                <w:sz w:val="18"/>
                <w:szCs w:val="18"/>
              </w:rPr>
              <w:t>aanbieder van cryptoactiva-diensten</w:t>
            </w:r>
            <w:r w:rsidR="005F28A4">
              <w:rPr>
                <w:rFonts w:cs="Univers-Oblique"/>
                <w:iCs/>
                <w:sz w:val="18"/>
                <w:szCs w:val="18"/>
              </w:rPr>
              <w:t>:</w:t>
            </w:r>
          </w:p>
        </w:tc>
        <w:tc>
          <w:tcPr>
            <w:tcW w:w="5812" w:type="dxa"/>
            <w:vAlign w:val="center"/>
          </w:tcPr>
          <w:p w14:paraId="57EC3973" w14:textId="5F0D1B29" w:rsidR="00253E99" w:rsidRPr="00425E41" w:rsidRDefault="00435D66" w:rsidP="00435D66">
            <w:pPr>
              <w:autoSpaceDE w:val="0"/>
              <w:autoSpaceDN w:val="0"/>
              <w:adjustRightInd w:val="0"/>
              <w:rPr>
                <w:rFonts w:cs="Univers"/>
                <w:szCs w:val="18"/>
              </w:rPr>
            </w:pPr>
            <w:r>
              <w:rPr>
                <w:rFonts w:cs="Univers"/>
                <w:szCs w:val="18"/>
              </w:rPr>
              <w:t xml:space="preserve">De </w:t>
            </w:r>
            <w:r w:rsidR="00526405">
              <w:rPr>
                <w:rFonts w:cs="Univers"/>
                <w:szCs w:val="18"/>
              </w:rPr>
              <w:t>aanbieder van cryptoactivadiensten en de exp</w:t>
            </w:r>
            <w:r w:rsidR="007E5EF1">
              <w:rPr>
                <w:rFonts w:cs="Univers"/>
                <w:szCs w:val="18"/>
              </w:rPr>
              <w:t>l</w:t>
            </w:r>
            <w:r w:rsidR="00526405">
              <w:rPr>
                <w:rFonts w:cs="Univers"/>
                <w:szCs w:val="18"/>
              </w:rPr>
              <w:t>oitant van cryptoactiva die in Nederland een rapportageplicht hebben.</w:t>
            </w:r>
            <w:r>
              <w:rPr>
                <w:rFonts w:cs="Univers"/>
                <w:szCs w:val="18"/>
              </w:rPr>
              <w:t xml:space="preserve"> </w:t>
            </w:r>
          </w:p>
        </w:tc>
      </w:tr>
      <w:tr w:rsidR="00C801EE" w:rsidRPr="00386E3F" w14:paraId="51641B15" w14:textId="77777777" w:rsidTr="00C801EE">
        <w:trPr>
          <w:trHeight w:val="350"/>
        </w:trPr>
        <w:tc>
          <w:tcPr>
            <w:tcW w:w="1843" w:type="dxa"/>
          </w:tcPr>
          <w:p w14:paraId="622DFC06" w14:textId="59BE6599" w:rsidR="00C801EE" w:rsidRPr="00425E41" w:rsidRDefault="005F28A4" w:rsidP="002F4961">
            <w:pPr>
              <w:pStyle w:val="Huisstijl-TabelTekst"/>
              <w:spacing w:line="200" w:lineRule="atLeast"/>
              <w:rPr>
                <w:rFonts w:cs="Univers-Oblique"/>
                <w:iCs/>
                <w:sz w:val="18"/>
                <w:szCs w:val="18"/>
              </w:rPr>
            </w:pPr>
            <w:r w:rsidRPr="00425E41">
              <w:rPr>
                <w:rFonts w:cs="Univers-Oblique"/>
                <w:iCs/>
                <w:sz w:val="18"/>
                <w:szCs w:val="18"/>
              </w:rPr>
              <w:t>R</w:t>
            </w:r>
            <w:r w:rsidR="00C801EE" w:rsidRPr="00425E41">
              <w:rPr>
                <w:rFonts w:cs="Univers-Oblique"/>
                <w:iCs/>
                <w:sz w:val="18"/>
                <w:szCs w:val="18"/>
              </w:rPr>
              <w:t>echtspersoon</w:t>
            </w:r>
            <w:r>
              <w:rPr>
                <w:rFonts w:cs="Univers-Oblique"/>
                <w:iCs/>
                <w:sz w:val="18"/>
                <w:szCs w:val="18"/>
              </w:rPr>
              <w:t>:</w:t>
            </w:r>
          </w:p>
        </w:tc>
        <w:tc>
          <w:tcPr>
            <w:tcW w:w="5812" w:type="dxa"/>
            <w:vAlign w:val="center"/>
          </w:tcPr>
          <w:p w14:paraId="192A6AAB" w14:textId="77777777" w:rsidR="00C801EE" w:rsidRPr="00425E41" w:rsidRDefault="00C801EE" w:rsidP="00B761E2">
            <w:pPr>
              <w:autoSpaceDE w:val="0"/>
              <w:autoSpaceDN w:val="0"/>
              <w:adjustRightInd w:val="0"/>
              <w:rPr>
                <w:szCs w:val="18"/>
                <w:lang w:eastAsia="zh-CN"/>
              </w:rPr>
            </w:pPr>
            <w:r w:rsidRPr="00425E41">
              <w:rPr>
                <w:szCs w:val="18"/>
                <w:lang w:eastAsia="zh-CN"/>
              </w:rPr>
              <w:t>rechtspersoon zoals gedefinieerd in het Burgerlijk Wetboek (BW).</w:t>
            </w:r>
          </w:p>
          <w:p w14:paraId="0B4AD899" w14:textId="77777777" w:rsidR="00253E99" w:rsidRPr="00425E41" w:rsidRDefault="00253E99" w:rsidP="00B761E2">
            <w:pPr>
              <w:autoSpaceDE w:val="0"/>
              <w:autoSpaceDN w:val="0"/>
              <w:adjustRightInd w:val="0"/>
              <w:rPr>
                <w:rFonts w:cs="Verdana"/>
                <w:color w:val="221F1F"/>
                <w:szCs w:val="18"/>
              </w:rPr>
            </w:pPr>
          </w:p>
        </w:tc>
      </w:tr>
      <w:tr w:rsidR="002F4961" w:rsidRPr="00386E3F" w14:paraId="551EE65E" w14:textId="77777777" w:rsidTr="00600DC8">
        <w:trPr>
          <w:trHeight w:val="838"/>
        </w:trPr>
        <w:tc>
          <w:tcPr>
            <w:tcW w:w="1843" w:type="dxa"/>
          </w:tcPr>
          <w:p w14:paraId="086FC2A2" w14:textId="5CE22F4A" w:rsidR="002F4961" w:rsidRPr="00425E41" w:rsidRDefault="006E03E9" w:rsidP="002F4961">
            <w:pPr>
              <w:pStyle w:val="Huisstijl-TabelTekst"/>
              <w:spacing w:line="200" w:lineRule="atLeast"/>
              <w:rPr>
                <w:sz w:val="18"/>
                <w:szCs w:val="18"/>
              </w:rPr>
            </w:pPr>
            <w:r>
              <w:rPr>
                <w:sz w:val="18"/>
                <w:szCs w:val="18"/>
              </w:rPr>
              <w:t>UBO (uiteindelijk belanghebbende)</w:t>
            </w:r>
            <w:r w:rsidR="005F28A4">
              <w:rPr>
                <w:sz w:val="18"/>
                <w:szCs w:val="18"/>
              </w:rPr>
              <w:t>:</w:t>
            </w:r>
          </w:p>
        </w:tc>
        <w:tc>
          <w:tcPr>
            <w:tcW w:w="5812" w:type="dxa"/>
            <w:vAlign w:val="center"/>
          </w:tcPr>
          <w:p w14:paraId="428A77B3" w14:textId="78DA20C3" w:rsidR="00253E99" w:rsidRPr="00425E41" w:rsidRDefault="007E5EF1" w:rsidP="00435D66">
            <w:pPr>
              <w:rPr>
                <w:szCs w:val="18"/>
              </w:rPr>
            </w:pPr>
            <w:r>
              <w:t xml:space="preserve">De natuurlijk personen die zeggenschap uitoefenen over een entiteit. In het geval van trusts worden hieronder verstaan de </w:t>
            </w:r>
            <w:proofErr w:type="spellStart"/>
            <w:r>
              <w:t>insteller</w:t>
            </w:r>
            <w:proofErr w:type="spellEnd"/>
            <w:r>
              <w:t>(s) van een trust, de trustees, de eventuele protector(en), de begunstigde(n) of categorie(</w:t>
            </w:r>
            <w:proofErr w:type="spellStart"/>
            <w:r>
              <w:t>ën</w:t>
            </w:r>
            <w:proofErr w:type="spellEnd"/>
            <w:r>
              <w:t xml:space="preserve">) begunstigden en eventuele andere natuurlijke personen die de uiteindelijke feitelijke zeggenschap uitoefenen over de trust en in het geval van andere juridische overeenkomsten dan een trust worden hieronder verstaan personen in dezelfde of een vergelijkbare positie. De uitdrukking uiteindelijk belanghebbende wordt uitgelegd op een wijze die verenigbaar is met de aanbevelingen van de Financial Action </w:t>
            </w:r>
            <w:proofErr w:type="spellStart"/>
            <w:r>
              <w:t>Task</w:t>
            </w:r>
            <w:proofErr w:type="spellEnd"/>
            <w:r>
              <w:t xml:space="preserve"> Force.</w:t>
            </w:r>
          </w:p>
        </w:tc>
      </w:tr>
      <w:tr w:rsidR="002A15E3" w:rsidRPr="00386E3F" w14:paraId="66F0EEE1" w14:textId="77777777" w:rsidTr="00D57577">
        <w:trPr>
          <w:trHeight w:val="351"/>
        </w:trPr>
        <w:tc>
          <w:tcPr>
            <w:tcW w:w="1843" w:type="dxa"/>
          </w:tcPr>
          <w:p w14:paraId="1D7883E9" w14:textId="77777777" w:rsidR="002A15E3" w:rsidRPr="00425E41" w:rsidRDefault="002A15E3" w:rsidP="00781A0A">
            <w:pPr>
              <w:pStyle w:val="Huisstijl-TabelTekst"/>
              <w:spacing w:line="200" w:lineRule="atLeast"/>
              <w:rPr>
                <w:color w:val="FF0000"/>
                <w:sz w:val="18"/>
                <w:szCs w:val="18"/>
                <w:lang w:eastAsia="zh-CN"/>
              </w:rPr>
            </w:pPr>
          </w:p>
        </w:tc>
        <w:tc>
          <w:tcPr>
            <w:tcW w:w="5812" w:type="dxa"/>
            <w:vAlign w:val="center"/>
          </w:tcPr>
          <w:p w14:paraId="33693A5E" w14:textId="77777777" w:rsidR="00253E99" w:rsidRPr="00425E41" w:rsidRDefault="00253E99" w:rsidP="00EE25CC">
            <w:pPr>
              <w:pStyle w:val="Huisstijl-TabelTekst"/>
              <w:rPr>
                <w:color w:val="FF0000"/>
                <w:sz w:val="18"/>
                <w:szCs w:val="18"/>
                <w:lang w:eastAsia="zh-CN"/>
              </w:rPr>
            </w:pPr>
          </w:p>
        </w:tc>
      </w:tr>
    </w:tbl>
    <w:p w14:paraId="1AD6F4C6" w14:textId="7AEC1DA1" w:rsidR="006834B8" w:rsidRPr="00386E3F" w:rsidRDefault="00563783" w:rsidP="00563783">
      <w:pPr>
        <w:pStyle w:val="Kop1"/>
        <w:numPr>
          <w:ilvl w:val="0"/>
          <w:numId w:val="0"/>
        </w:numPr>
        <w:rPr>
          <w:rStyle w:val="Kop1Char"/>
        </w:rPr>
      </w:pPr>
      <w:bookmarkStart w:id="117" w:name="_Toc207732177"/>
      <w:bookmarkStart w:id="118" w:name="_Toc449610410"/>
      <w:bookmarkEnd w:id="53"/>
      <w:r>
        <w:rPr>
          <w:rStyle w:val="Kop1Char"/>
        </w:rPr>
        <w:lastRenderedPageBreak/>
        <w:t>Slotbepalingen</w:t>
      </w:r>
      <w:bookmarkEnd w:id="117"/>
      <w:r w:rsidR="00BE6434">
        <w:rPr>
          <w:rStyle w:val="Kop1Char"/>
        </w:rPr>
        <w:t xml:space="preserve"> </w:t>
      </w:r>
      <w:bookmarkEnd w:id="118"/>
    </w:p>
    <w:p w14:paraId="67D8B9D1" w14:textId="77777777" w:rsidR="00D11D17" w:rsidRPr="00425E41" w:rsidRDefault="00D11D17" w:rsidP="00D11D17">
      <w:pPr>
        <w:pStyle w:val="Basis"/>
        <w:keepNext/>
        <w:spacing w:before="288"/>
        <w:outlineLvl w:val="1"/>
        <w:rPr>
          <w:rFonts w:ascii="Verdana" w:hAnsi="Verdana"/>
          <w:b/>
        </w:rPr>
      </w:pPr>
      <w:bookmarkStart w:id="119" w:name="_Ref340059812"/>
      <w:bookmarkStart w:id="120" w:name="_Toc321401372"/>
      <w:bookmarkStart w:id="121" w:name="_Toc332108577"/>
      <w:bookmarkStart w:id="122" w:name="_Ref334104806"/>
      <w:bookmarkStart w:id="123" w:name="_Ref334105709"/>
      <w:bookmarkStart w:id="124" w:name="_Ref334114736"/>
      <w:bookmarkStart w:id="125" w:name="_Ref334114760"/>
      <w:bookmarkStart w:id="126" w:name="_Ref334190726"/>
      <w:bookmarkStart w:id="127" w:name="_Ref339455150"/>
      <w:r w:rsidRPr="00425E41">
        <w:rPr>
          <w:rFonts w:ascii="Verdana" w:hAnsi="Verdana"/>
          <w:b/>
        </w:rPr>
        <w:t>Inwerkingtreding</w:t>
      </w:r>
    </w:p>
    <w:p w14:paraId="005D80EA" w14:textId="4EDFCC4B" w:rsidR="00D11D17" w:rsidRPr="00425E41" w:rsidRDefault="00D11D17" w:rsidP="00D11D17">
      <w:pPr>
        <w:pStyle w:val="Basis"/>
        <w:spacing w:before="240"/>
        <w:rPr>
          <w:rFonts w:ascii="Verdana" w:hAnsi="Verdana"/>
        </w:rPr>
      </w:pPr>
      <w:r w:rsidRPr="00425E41">
        <w:rPr>
          <w:rFonts w:ascii="Verdana" w:hAnsi="Verdana"/>
        </w:rPr>
        <w:t xml:space="preserve">Deze </w:t>
      </w:r>
      <w:r w:rsidR="00F57FFD">
        <w:rPr>
          <w:rFonts w:ascii="Verdana" w:hAnsi="Verdana"/>
        </w:rPr>
        <w:t xml:space="preserve">Handleiding </w:t>
      </w:r>
      <w:r w:rsidRPr="00425E41">
        <w:rPr>
          <w:rFonts w:ascii="Verdana" w:hAnsi="Verdana"/>
        </w:rPr>
        <w:t>treedt in werking met ingang van 1 januari 20</w:t>
      </w:r>
      <w:r w:rsidR="00F57FFD">
        <w:rPr>
          <w:rFonts w:ascii="Verdana" w:hAnsi="Verdana"/>
        </w:rPr>
        <w:t>2</w:t>
      </w:r>
      <w:r w:rsidR="00B871D2">
        <w:rPr>
          <w:rFonts w:ascii="Verdana" w:hAnsi="Verdana"/>
        </w:rPr>
        <w:t>6</w:t>
      </w:r>
      <w:r w:rsidRPr="00425E41">
        <w:rPr>
          <w:rFonts w:ascii="Verdana" w:hAnsi="Verdana"/>
        </w:rPr>
        <w:t xml:space="preserve"> en vindt voor het eerst toepassing met betrekking tot te rapporteren </w:t>
      </w:r>
      <w:r w:rsidR="000B647F">
        <w:rPr>
          <w:rFonts w:ascii="Verdana" w:hAnsi="Verdana"/>
        </w:rPr>
        <w:t>crypto</w:t>
      </w:r>
      <w:r w:rsidR="00B871D2">
        <w:rPr>
          <w:rFonts w:ascii="Verdana" w:hAnsi="Verdana"/>
        </w:rPr>
        <w:t xml:space="preserve">transactiegegevens over 2026. </w:t>
      </w:r>
    </w:p>
    <w:p w14:paraId="1E273966" w14:textId="77777777" w:rsidR="00D11D17" w:rsidRPr="00425E41" w:rsidRDefault="00D11D17" w:rsidP="00D11D17">
      <w:pPr>
        <w:pStyle w:val="Basis"/>
        <w:keepNext/>
        <w:spacing w:before="288"/>
        <w:outlineLvl w:val="1"/>
        <w:rPr>
          <w:rFonts w:ascii="Verdana" w:hAnsi="Verdana"/>
          <w:b/>
        </w:rPr>
      </w:pPr>
      <w:r w:rsidRPr="00425E41">
        <w:rPr>
          <w:rFonts w:ascii="Verdana" w:hAnsi="Verdana"/>
          <w:b/>
        </w:rPr>
        <w:t>Citeertitel</w:t>
      </w:r>
    </w:p>
    <w:p w14:paraId="4407B4CD" w14:textId="30E42941" w:rsidR="00D11D17" w:rsidRPr="00425E41" w:rsidRDefault="000E498F" w:rsidP="002B290F">
      <w:pPr>
        <w:pStyle w:val="Basis"/>
        <w:spacing w:before="240"/>
        <w:rPr>
          <w:rFonts w:ascii="Verdana" w:hAnsi="Verdana"/>
        </w:rPr>
      </w:pPr>
      <w:r>
        <w:rPr>
          <w:rFonts w:cs="Verdana"/>
          <w:szCs w:val="18"/>
        </w:rPr>
        <w:t>“</w:t>
      </w:r>
      <w:r w:rsidRPr="00425E41">
        <w:rPr>
          <w:rFonts w:ascii="Verdana" w:hAnsi="Verdana"/>
        </w:rPr>
        <w:t xml:space="preserve"> </w:t>
      </w:r>
      <w:r w:rsidR="002B290F">
        <w:rPr>
          <w:rFonts w:cs="Verdana"/>
          <w:szCs w:val="18"/>
        </w:rPr>
        <w:t>Wet implementatie EU-richtlijn gegevensuitwisseling cryptoactiva”.</w:t>
      </w:r>
      <w:bookmarkEnd w:id="119"/>
      <w:bookmarkEnd w:id="120"/>
      <w:bookmarkEnd w:id="121"/>
      <w:bookmarkEnd w:id="122"/>
      <w:bookmarkEnd w:id="123"/>
      <w:bookmarkEnd w:id="124"/>
      <w:bookmarkEnd w:id="125"/>
      <w:bookmarkEnd w:id="126"/>
      <w:bookmarkEnd w:id="127"/>
    </w:p>
    <w:sectPr w:rsidR="00D11D17" w:rsidRPr="00425E41" w:rsidSect="009C2446">
      <w:headerReference w:type="even" r:id="rId18"/>
      <w:headerReference w:type="default" r:id="rId19"/>
      <w:footerReference w:type="even" r:id="rId20"/>
      <w:footerReference w:type="default" r:id="rId21"/>
      <w:headerReference w:type="first" r:id="rId22"/>
      <w:pgSz w:w="11906" w:h="16838" w:code="9"/>
      <w:pgMar w:top="1701" w:right="953" w:bottom="1418" w:left="3221"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27D1" w14:textId="77777777" w:rsidR="00725995" w:rsidRDefault="00725995">
      <w:r>
        <w:separator/>
      </w:r>
    </w:p>
    <w:p w14:paraId="7CFD6F31" w14:textId="77777777" w:rsidR="00725995" w:rsidRDefault="00725995"/>
    <w:p w14:paraId="219F9BB8" w14:textId="77777777" w:rsidR="00725995" w:rsidRDefault="00725995"/>
  </w:endnote>
  <w:endnote w:type="continuationSeparator" w:id="0">
    <w:p w14:paraId="58170BD5" w14:textId="77777777" w:rsidR="00725995" w:rsidRDefault="00725995">
      <w:r>
        <w:continuationSeparator/>
      </w:r>
    </w:p>
    <w:p w14:paraId="072DDB27" w14:textId="77777777" w:rsidR="00725995" w:rsidRDefault="00725995"/>
    <w:p w14:paraId="053D1973" w14:textId="77777777" w:rsidR="00725995" w:rsidRDefault="00725995"/>
  </w:endnote>
  <w:endnote w:type="continuationNotice" w:id="1">
    <w:p w14:paraId="452EAB2D" w14:textId="77777777" w:rsidR="00725995" w:rsidRDefault="00725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thold Imago Medium">
    <w:altName w:val="Arial"/>
    <w:charset w:val="00"/>
    <w:family w:val="swiss"/>
    <w:pitch w:val="default"/>
  </w:font>
  <w:font w:name="ImagoBQ-Book">
    <w:panose1 w:val="00000000000000000000"/>
    <w:charset w:val="00"/>
    <w:family w:val="swiss"/>
    <w:notTrueType/>
    <w:pitch w:val="default"/>
    <w:sig w:usb0="00000003" w:usb1="00000000" w:usb2="00000000" w:usb3="00000000" w:csb0="00000001" w:csb1="00000000"/>
  </w:font>
  <w:font w:name="RijksoverheidSerif">
    <w:charset w:val="00"/>
    <w:family w:val="auto"/>
    <w:pitch w:val="variable"/>
    <w:sig w:usb0="A00000AF" w:usb1="4000204B" w:usb2="00000000" w:usb3="00000000" w:csb0="0000009B" w:csb1="00000000"/>
  </w:font>
  <w:font w:name="DejaVu Sans">
    <w:panose1 w:val="020B0603030804020204"/>
    <w:charset w:val="00"/>
    <w:family w:val="swiss"/>
    <w:pitch w:val="variable"/>
    <w:sig w:usb0="E7002EFF" w:usb1="D200FDFF" w:usb2="0A24602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UnicodeMS_PDF_Subset">
    <w:panose1 w:val="00000000000000000000"/>
    <w:charset w:val="00"/>
    <w:family w:val="auto"/>
    <w:notTrueType/>
    <w:pitch w:val="default"/>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Univers-Oblique">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RijksoverheidSansHeading-Regula">
    <w:panose1 w:val="00000000000000000000"/>
    <w:charset w:val="00"/>
    <w:family w:val="swiss"/>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Heading-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8D18" w14:textId="77777777" w:rsidR="00F07BED" w:rsidRDefault="00F07BED">
    <w:pPr>
      <w:pStyle w:val="Voettekst"/>
    </w:pPr>
  </w:p>
  <w:p w14:paraId="5E19911B" w14:textId="77777777" w:rsidR="00F07BED" w:rsidRDefault="00F07BED"/>
  <w:tbl>
    <w:tblPr>
      <w:tblW w:w="0" w:type="auto"/>
      <w:tblLayout w:type="fixed"/>
      <w:tblCellMar>
        <w:left w:w="0" w:type="dxa"/>
        <w:right w:w="0" w:type="dxa"/>
      </w:tblCellMar>
      <w:tblLook w:val="0000" w:firstRow="0" w:lastRow="0" w:firstColumn="0" w:lastColumn="0" w:noHBand="0" w:noVBand="0"/>
    </w:tblPr>
    <w:tblGrid>
      <w:gridCol w:w="7752"/>
      <w:gridCol w:w="2148"/>
    </w:tblGrid>
    <w:tr w:rsidR="00F07BED" w14:paraId="4957B5D1" w14:textId="77777777">
      <w:trPr>
        <w:trHeight w:hRule="exact" w:val="240"/>
      </w:trPr>
      <w:tc>
        <w:tcPr>
          <w:tcW w:w="7752" w:type="dxa"/>
        </w:tcPr>
        <w:p w14:paraId="15E0AC47" w14:textId="77777777" w:rsidR="00F07BED" w:rsidRDefault="00F07BED">
          <w:r>
            <w:t>VERTROUWELIJK</w:t>
          </w:r>
        </w:p>
      </w:tc>
      <w:tc>
        <w:tcPr>
          <w:tcW w:w="2148" w:type="dxa"/>
        </w:tcPr>
        <w:p w14:paraId="673DCFBF" w14:textId="77777777" w:rsidR="00F07BED" w:rsidRDefault="00F07BED">
          <w:pPr>
            <w:pStyle w:val="Huisstijl-Paginanummering"/>
          </w:pPr>
          <w:r>
            <w:t xml:space="preserve">Pagina </w:t>
          </w:r>
          <w:r>
            <w:fldChar w:fldCharType="begin"/>
          </w:r>
          <w:r>
            <w:instrText xml:space="preserve"> PAGE   \* MERGEFORMAT </w:instrText>
          </w:r>
          <w:r>
            <w:fldChar w:fldCharType="separate"/>
          </w:r>
          <w:r>
            <w:t>1</w:t>
          </w:r>
          <w:r>
            <w:fldChar w:fldCharType="end"/>
          </w:r>
          <w:r>
            <w:t xml:space="preserve"> van </w:t>
          </w:r>
          <w:fldSimple w:instr=" NUMPAGES   \* MERGEFORMAT ">
            <w:r>
              <w:t>71</w:t>
            </w:r>
          </w:fldSimple>
        </w:p>
      </w:tc>
    </w:tr>
  </w:tbl>
  <w:p w14:paraId="44E6EE30" w14:textId="77777777" w:rsidR="00F07BED" w:rsidRDefault="00F07B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F07BED" w14:paraId="228E72BA" w14:textId="77777777">
      <w:trPr>
        <w:trHeight w:hRule="exact" w:val="240"/>
      </w:trPr>
      <w:tc>
        <w:tcPr>
          <w:tcW w:w="6260" w:type="dxa"/>
        </w:tcPr>
        <w:p w14:paraId="156702B1" w14:textId="77777777" w:rsidR="00F07BED" w:rsidRDefault="00F07BED">
          <w:pPr>
            <w:rPr>
              <w:rStyle w:val="Huisstijl-Rubricering"/>
            </w:rPr>
          </w:pPr>
        </w:p>
      </w:tc>
      <w:tc>
        <w:tcPr>
          <w:tcW w:w="1392" w:type="dxa"/>
        </w:tcPr>
        <w:p w14:paraId="2BDEEF48" w14:textId="77777777" w:rsidR="00F07BED" w:rsidRDefault="00F07BED">
          <w:pPr>
            <w:pStyle w:val="Huisstijl-Paginanummering"/>
            <w:jc w:val="right"/>
          </w:pPr>
          <w:r>
            <w:t xml:space="preserve">Pagina </w:t>
          </w:r>
          <w:r>
            <w:fldChar w:fldCharType="begin"/>
          </w:r>
          <w:r>
            <w:instrText xml:space="preserve"> PAGE   \* MERGEFORMAT </w:instrText>
          </w:r>
          <w:r>
            <w:fldChar w:fldCharType="separate"/>
          </w:r>
          <w:r w:rsidR="0064499C">
            <w:t>13</w:t>
          </w:r>
          <w:r>
            <w:fldChar w:fldCharType="end"/>
          </w:r>
          <w:r>
            <w:t xml:space="preserve"> van </w:t>
          </w:r>
          <w:fldSimple w:instr=" NUMPAGES   \* MERGEFORMAT ">
            <w:r w:rsidR="0064499C">
              <w:t>26</w:t>
            </w:r>
          </w:fldSimple>
        </w:p>
      </w:tc>
    </w:tr>
  </w:tbl>
  <w:p w14:paraId="4DD40DAE" w14:textId="77777777" w:rsidR="00F07BED" w:rsidRDefault="00F07BED">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640C" w14:textId="77777777" w:rsidR="00725995" w:rsidRDefault="00725995">
      <w:pPr>
        <w:pStyle w:val="Voettekst"/>
      </w:pPr>
    </w:p>
  </w:footnote>
  <w:footnote w:type="continuationSeparator" w:id="0">
    <w:p w14:paraId="2E925D10" w14:textId="77777777" w:rsidR="00725995" w:rsidRDefault="00725995">
      <w:r>
        <w:continuationSeparator/>
      </w:r>
    </w:p>
    <w:p w14:paraId="4008F878" w14:textId="77777777" w:rsidR="00725995" w:rsidRDefault="00725995"/>
    <w:p w14:paraId="3330DC46" w14:textId="77777777" w:rsidR="00725995" w:rsidRDefault="00725995"/>
  </w:footnote>
  <w:footnote w:type="continuationNotice" w:id="1">
    <w:p w14:paraId="525E3310" w14:textId="77777777" w:rsidR="00725995" w:rsidRDefault="00725995"/>
  </w:footnote>
  <w:footnote w:id="2">
    <w:p w14:paraId="5E953E95" w14:textId="72C11C99" w:rsidR="003E75B4" w:rsidRDefault="003E75B4">
      <w:pPr>
        <w:pStyle w:val="Voetnoottekst"/>
      </w:pPr>
      <w:r>
        <w:rPr>
          <w:rStyle w:val="Voetnootmarkering"/>
        </w:rPr>
        <w:footnoteRef/>
      </w:r>
      <w:r>
        <w:t xml:space="preserve"> </w:t>
      </w:r>
      <w:r w:rsidR="00143672">
        <w:tab/>
      </w:r>
      <w:r>
        <w:t xml:space="preserve">Ook </w:t>
      </w:r>
      <w:r w:rsidR="000A590B">
        <w:t xml:space="preserve">een </w:t>
      </w:r>
      <w:r>
        <w:t xml:space="preserve">buitenlandse aanbieders </w:t>
      </w:r>
      <w:r w:rsidR="000A590B">
        <w:t xml:space="preserve">is </w:t>
      </w:r>
      <w:r>
        <w:t xml:space="preserve">in Nederland rapportageplichtig als </w:t>
      </w:r>
      <w:r w:rsidR="000A590B">
        <w:t xml:space="preserve">deze </w:t>
      </w:r>
      <w:r>
        <w:t>transacties uitvoer</w:t>
      </w:r>
      <w:r w:rsidR="000A590B">
        <w:t>t</w:t>
      </w:r>
      <w:r>
        <w:t xml:space="preserve"> via een bijkantoor in Nederland. </w:t>
      </w:r>
      <w:r w:rsidR="001024E5">
        <w:t xml:space="preserve">Zo is dan bijvoorbeeld een Belgische </w:t>
      </w:r>
      <w:r>
        <w:t>rapporterende aanbieder</w:t>
      </w:r>
      <w:r w:rsidR="001024E5">
        <w:t xml:space="preserve">, </w:t>
      </w:r>
      <w:r>
        <w:t>voor deze transacties rapportagepl</w:t>
      </w:r>
      <w:r w:rsidR="000A590B">
        <w:t>i</w:t>
      </w:r>
      <w:r>
        <w:t>chtig in het land waar het bijkantoor is gevestigd</w:t>
      </w:r>
      <w:r w:rsidR="001024E5">
        <w:t xml:space="preserve">, in casu Nederland. </w:t>
      </w:r>
      <w:r>
        <w:t xml:space="preserve">  </w:t>
      </w:r>
    </w:p>
  </w:footnote>
  <w:footnote w:id="3">
    <w:p w14:paraId="01896EA5" w14:textId="0ADA71EE" w:rsidR="00BF5DEB" w:rsidRDefault="00BF5DEB">
      <w:pPr>
        <w:pStyle w:val="Voetnoottekst"/>
      </w:pPr>
      <w:r>
        <w:rPr>
          <w:rStyle w:val="Voetnootmarkering"/>
        </w:rPr>
        <w:footnoteRef/>
      </w:r>
      <w:r>
        <w:t xml:space="preserve"> </w:t>
      </w:r>
      <w:r w:rsidR="00143672">
        <w:tab/>
      </w:r>
      <w:r>
        <w:t>Richtlijn EU 2023/226 (tot wijziging van Richtlijn 2011/16 EU) betreffende de administratieve samenwerking op het gebied van belastingen</w:t>
      </w:r>
    </w:p>
  </w:footnote>
  <w:footnote w:id="4">
    <w:p w14:paraId="73C78E00" w14:textId="216D9F66" w:rsidR="00A8486F" w:rsidRDefault="00A8486F" w:rsidP="00A8486F">
      <w:pPr>
        <w:pStyle w:val="Voetnoottekst"/>
      </w:pPr>
      <w:r>
        <w:rPr>
          <w:rStyle w:val="Voetnootmarkering"/>
        </w:rPr>
        <w:footnoteRef/>
      </w:r>
      <w:r>
        <w:t xml:space="preserve"> </w:t>
      </w:r>
      <w:r w:rsidR="00143672">
        <w:tab/>
      </w:r>
      <w:r>
        <w:t xml:space="preserve">Zie hiervoor onderdeel IV onder B van de richtlijn waarin verwezen wordt naar artikel 3, lid 1, punt 15 van EU Verordening 2023/114. Opgemerkt wordt dat artikel 60 van de </w:t>
      </w:r>
      <w:r>
        <w:t xml:space="preserve">MiCA-verordening aan bepaalde financiële instelling toestaat om, na notificatie aan de toezichthouder, cryptoactivadiensten aan te bieden onder een reeds bestaande vergunning. Dit geldt bijvoorbeeld voor kredietinstellingen, centrale effectenbewaarinstellingen en beleggingsinstellingen. </w:t>
      </w:r>
    </w:p>
  </w:footnote>
  <w:footnote w:id="5">
    <w:p w14:paraId="39200BA7" w14:textId="77777777" w:rsidR="00AE7FC0" w:rsidRDefault="00AE7FC0" w:rsidP="00AE7FC0">
      <w:pPr>
        <w:pStyle w:val="Voetnoottekst"/>
      </w:pPr>
      <w:r>
        <w:rPr>
          <w:rStyle w:val="Voetnootmarkering"/>
        </w:rPr>
        <w:footnoteRef/>
      </w:r>
      <w:r>
        <w:t xml:space="preserve"> Zie bijvoorbeeld deel IV, onderdeel B3 van Richtlijn EU 2023/2226 van de Raad van 17 oktober 2023.</w:t>
      </w:r>
    </w:p>
  </w:footnote>
  <w:footnote w:id="6">
    <w:p w14:paraId="6BE3BE3E" w14:textId="745C3919" w:rsidR="00135C57" w:rsidRDefault="00135C57">
      <w:pPr>
        <w:pStyle w:val="Voetnoottekst"/>
      </w:pPr>
      <w:r>
        <w:rPr>
          <w:rStyle w:val="Voetnootmarkering"/>
        </w:rPr>
        <w:footnoteRef/>
      </w:r>
      <w:r>
        <w:t xml:space="preserve"> </w:t>
      </w:r>
      <w:r w:rsidR="00143672">
        <w:tab/>
      </w:r>
      <w:r w:rsidRPr="004958AA">
        <w:t>De Europese Commissie zal uiterlijk 31 december 2026 een register van exploitanten hebben opgezet. Daarin wordt de informatie die de lidstaten bij registratie van de exploitanten hebben verkregen opgenome</w:t>
      </w:r>
      <w:r w:rsidR="004958AA" w:rsidRPr="004958AA">
        <w:t xml:space="preserve">n. Aldus de </w:t>
      </w:r>
      <w:r w:rsidR="004958AA" w:rsidRPr="004958AA">
        <w:t>Mvt Wijziging van de WIB en de AWR ivm implementatie Richtlijn (EU) 2023/2226 pag.</w:t>
      </w:r>
      <w:r w:rsidR="008F4338">
        <w:t xml:space="preserve"> </w:t>
      </w:r>
      <w:r w:rsidR="004958AA" w:rsidRPr="004958AA">
        <w:t xml:space="preserve">8. Echter op de </w:t>
      </w:r>
      <w:r w:rsidR="008F4338">
        <w:t>web</w:t>
      </w:r>
      <w:r w:rsidR="004958AA" w:rsidRPr="004958AA">
        <w:t xml:space="preserve">site van </w:t>
      </w:r>
      <w:r w:rsidR="004958AA">
        <w:t>de EU EU</w:t>
      </w:r>
      <w:r w:rsidR="008F4338">
        <w:t xml:space="preserve">R-lex.europa.eu staat een eerdere ingangsdatum van 31 december 2025 vermeld.  </w:t>
      </w:r>
    </w:p>
  </w:footnote>
  <w:footnote w:id="7">
    <w:p w14:paraId="084173AF" w14:textId="68C18A68" w:rsidR="00547038" w:rsidRDefault="00547038" w:rsidP="00547038">
      <w:pPr>
        <w:pStyle w:val="Voetnoottekst"/>
      </w:pPr>
      <w:r>
        <w:rPr>
          <w:rStyle w:val="Voetnootmarkering"/>
        </w:rPr>
        <w:footnoteRef/>
      </w:r>
      <w:r>
        <w:t xml:space="preserve"> </w:t>
      </w:r>
      <w:r w:rsidR="00143672">
        <w:tab/>
      </w:r>
      <w:r>
        <w:t xml:space="preserve">Zie hiervoor artikel 10od lid 1 jo artikel 10ob, lid 1 aanhef en onder b, of tweede lid Wijziging van de WIB. </w:t>
      </w:r>
    </w:p>
  </w:footnote>
  <w:footnote w:id="8">
    <w:p w14:paraId="2E682FC4" w14:textId="02188EDD" w:rsidR="008D3C54" w:rsidRDefault="008D3C54">
      <w:pPr>
        <w:pStyle w:val="Voetnoottekst"/>
      </w:pPr>
      <w:r>
        <w:rPr>
          <w:rStyle w:val="Voetnootmarkering"/>
        </w:rPr>
        <w:footnoteRef/>
      </w:r>
      <w:r>
        <w:t xml:space="preserve"> </w:t>
      </w:r>
      <w:r w:rsidR="00143672">
        <w:tab/>
      </w:r>
      <w:r>
        <w:t xml:space="preserve">Voor de definitie van uiteindelijk belanghebbende zie bijlage VI, deel IV, onderdeel D, onder 9 van Richtlijn EU 2023/2226 en de term uiteindelijk belanghebbende wordt uitgelegd op een wijze die strookt met de term uiteindelijk belanghebbende als </w:t>
      </w:r>
      <w:r w:rsidR="00BE6434">
        <w:t>gedefinieerd</w:t>
      </w:r>
      <w:r>
        <w:t xml:space="preserve"> in artikel 3, punt 6, van Richtlijn (EU) 2015/849 voor zover het rapporterende aanbieders van cryptoactivadiensten betreft.  </w:t>
      </w:r>
    </w:p>
  </w:footnote>
  <w:footnote w:id="9">
    <w:p w14:paraId="210CF8D6" w14:textId="03A6289F" w:rsidR="00F262C6" w:rsidRDefault="00F262C6">
      <w:pPr>
        <w:pStyle w:val="Voetnoottekst"/>
      </w:pPr>
      <w:r>
        <w:rPr>
          <w:rStyle w:val="Voetnootmarkering"/>
        </w:rPr>
        <w:footnoteRef/>
      </w:r>
      <w:r>
        <w:t xml:space="preserve"> </w:t>
      </w:r>
      <w:r w:rsidR="00143672">
        <w:tab/>
      </w:r>
      <w:r>
        <w:t xml:space="preserve">Artikel IV, lid 2 Wijziging </w:t>
      </w:r>
      <w:r w:rsidR="007F142D">
        <w:t xml:space="preserve">van de WIB. </w:t>
      </w:r>
    </w:p>
  </w:footnote>
  <w:footnote w:id="10">
    <w:p w14:paraId="79C0A0D4" w14:textId="58D401A3" w:rsidR="00E25DCD" w:rsidRDefault="00E25DCD" w:rsidP="00E25DCD">
      <w:pPr>
        <w:pStyle w:val="Voetnoottekst"/>
      </w:pPr>
      <w:r>
        <w:rPr>
          <w:rStyle w:val="Voetnootmarkering"/>
        </w:rPr>
        <w:footnoteRef/>
      </w:r>
      <w:r>
        <w:t xml:space="preserve"> </w:t>
      </w:r>
      <w:r w:rsidR="00143672">
        <w:tab/>
      </w:r>
      <w:r>
        <w:t xml:space="preserve">CBDC: Central Bank Digital </w:t>
      </w:r>
      <w:r>
        <w:t>Currencies</w:t>
      </w:r>
    </w:p>
  </w:footnote>
  <w:footnote w:id="11">
    <w:p w14:paraId="7CA882C9" w14:textId="54DE691B" w:rsidR="004D3A5E" w:rsidRDefault="004D3A5E">
      <w:pPr>
        <w:pStyle w:val="Voetnoottekst"/>
      </w:pPr>
      <w:r>
        <w:rPr>
          <w:rStyle w:val="Voetnootmarkering"/>
        </w:rPr>
        <w:footnoteRef/>
      </w:r>
      <w:r>
        <w:t xml:space="preserve"> Zie Richtlijn EU 2023/2226 van de Raad van 17 oktober 2023, Deel IV, definities C4.</w:t>
      </w:r>
    </w:p>
  </w:footnote>
  <w:footnote w:id="12">
    <w:p w14:paraId="651729E8" w14:textId="0260EA01" w:rsidR="00A747AF" w:rsidRDefault="00A747AF">
      <w:pPr>
        <w:pStyle w:val="Voetnoottekst"/>
      </w:pPr>
      <w:r>
        <w:rPr>
          <w:rStyle w:val="Voetnootmarkering"/>
        </w:rPr>
        <w:footnoteRef/>
      </w:r>
      <w:r>
        <w:t xml:space="preserve"> Conform artikel 10ob, lid 4b, onder 6. wijziging van de WIB.</w:t>
      </w:r>
    </w:p>
  </w:footnote>
  <w:footnote w:id="13">
    <w:p w14:paraId="5A9681BA" w14:textId="5125192C" w:rsidR="00A747AF" w:rsidRDefault="00A747AF">
      <w:pPr>
        <w:pStyle w:val="Voetnoottekst"/>
      </w:pPr>
      <w:r>
        <w:rPr>
          <w:rStyle w:val="Voetnootmarkering"/>
        </w:rPr>
        <w:footnoteRef/>
      </w:r>
      <w:r>
        <w:t xml:space="preserve"> Conform artikel 10ob, lid 4b, onder 7, wijziging van de WIB.</w:t>
      </w:r>
    </w:p>
  </w:footnote>
  <w:footnote w:id="14">
    <w:p w14:paraId="1E46D333" w14:textId="0FB2CDA9" w:rsidR="00DC1F9B" w:rsidRDefault="00DC1F9B">
      <w:pPr>
        <w:pStyle w:val="Voetnoottekst"/>
      </w:pPr>
      <w:r>
        <w:rPr>
          <w:rStyle w:val="Voetnootmarkering"/>
        </w:rPr>
        <w:footnoteRef/>
      </w:r>
      <w:r>
        <w:t xml:space="preserve"> Zie artikel 10ob, lid 4 wijziging van de WIB. </w:t>
      </w:r>
    </w:p>
  </w:footnote>
  <w:footnote w:id="15">
    <w:p w14:paraId="52AF3232" w14:textId="77777777" w:rsidR="00CF0ED1" w:rsidRDefault="005D4906">
      <w:pPr>
        <w:pStyle w:val="Voetnoottekst"/>
      </w:pPr>
      <w:r>
        <w:rPr>
          <w:rStyle w:val="Voetnootmarkering"/>
        </w:rPr>
        <w:footnoteRef/>
      </w:r>
      <w:r>
        <w:t xml:space="preserve"> De vermelding van alleen een </w:t>
      </w:r>
      <w:r>
        <w:t>ticker of een verkort symbool dat wordt gebruikt om het cryptoactivum te</w:t>
      </w:r>
      <w:r w:rsidR="00CF0ED1">
        <w:t xml:space="preserve"> </w:t>
      </w:r>
    </w:p>
    <w:p w14:paraId="0399A5E1" w14:textId="3E624308" w:rsidR="005D4906" w:rsidRDefault="00CF0ED1">
      <w:pPr>
        <w:pStyle w:val="Voetnoottekst"/>
      </w:pPr>
      <w:r>
        <w:t xml:space="preserve">    </w:t>
      </w:r>
      <w:r w:rsidR="005D4906">
        <w:t xml:space="preserve">identificeren is niet voldoende. </w:t>
      </w:r>
    </w:p>
  </w:footnote>
  <w:footnote w:id="16">
    <w:p w14:paraId="7ED4AB87" w14:textId="327F726E" w:rsidR="00100370" w:rsidRDefault="00100370">
      <w:pPr>
        <w:pStyle w:val="Voetnoottekst"/>
      </w:pPr>
      <w:r>
        <w:rPr>
          <w:rStyle w:val="Voetnootmarkering"/>
        </w:rPr>
        <w:footnoteRef/>
      </w:r>
      <w:r>
        <w:t xml:space="preserve"> Zie pag</w:t>
      </w:r>
      <w:r w:rsidR="00B75A37">
        <w:t>.</w:t>
      </w:r>
      <w:r>
        <w:t xml:space="preserve"> 32/33 van het CARF.</w:t>
      </w:r>
    </w:p>
  </w:footnote>
  <w:footnote w:id="17">
    <w:p w14:paraId="0F61BF23" w14:textId="1095C9B7" w:rsidR="003E359B" w:rsidRDefault="003E359B" w:rsidP="003E359B">
      <w:pPr>
        <w:pStyle w:val="Voetnoottekst"/>
      </w:pPr>
      <w:r w:rsidRPr="003E359B">
        <w:footnoteRef/>
      </w:r>
      <w:r>
        <w:t xml:space="preserve"> </w:t>
      </w:r>
      <w:r w:rsidR="000751C3">
        <w:tab/>
      </w:r>
      <w:r>
        <w:t>Verwezen wordt naar artikel 11 van Besluit van  houdende verzamel- en verificatievereisten voor rapporterende aanbieders van cryptoactivadiensten met het oog op de automatische uitwisseling van gegevens en inlichtingen ten aanzien van inkomsten uit transacties met cryptoactiva (Uitvoeringsbesluit verzamel- en verificatievereisten voor rapporterende aanbieders van cryptoactivadiensten).</w:t>
      </w:r>
    </w:p>
    <w:p w14:paraId="5CED96FC" w14:textId="33EE489B" w:rsidR="003E359B" w:rsidRDefault="003E359B">
      <w:pPr>
        <w:pStyle w:val="Voetnoottekst"/>
      </w:pPr>
    </w:p>
  </w:footnote>
  <w:footnote w:id="18">
    <w:p w14:paraId="34EBAB19" w14:textId="77777777" w:rsidR="005B7FF4" w:rsidRDefault="005B7FF4" w:rsidP="005B7FF4">
      <w:pPr>
        <w:pStyle w:val="Voetnoottekst"/>
      </w:pPr>
      <w:r w:rsidRPr="00EC2898">
        <w:rPr>
          <w:rStyle w:val="Voetnootmarkering"/>
          <w:color w:val="000000" w:themeColor="text1"/>
          <w:vertAlign w:val="superscript"/>
        </w:rPr>
        <w:footnoteRef/>
      </w:r>
      <w:r w:rsidRPr="00EC2898">
        <w:rPr>
          <w:color w:val="000000" w:themeColor="text1"/>
        </w:rPr>
        <w:t xml:space="preserve"> ODB staat voor Ondersteuning Digitaal Berichtenverkeer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791A" w14:textId="77777777" w:rsidR="00F07BED" w:rsidRDefault="00F07BED">
    <w:pPr>
      <w:pStyle w:val="Koptekst"/>
    </w:pPr>
  </w:p>
  <w:p w14:paraId="5681A2E6" w14:textId="77777777" w:rsidR="00F07BED" w:rsidRDefault="00F07BED"/>
  <w:p w14:paraId="46534432" w14:textId="77777777" w:rsidR="00F07BED" w:rsidRDefault="00F07B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19FB" w14:textId="77777777" w:rsidR="00F07BED" w:rsidRDefault="00F07BED">
    <w:pPr>
      <w:pStyle w:val="Koptekst"/>
      <w:rPr>
        <w:b/>
        <w:smallCaps/>
      </w:rPr>
    </w:pPr>
  </w:p>
  <w:tbl>
    <w:tblPr>
      <w:tblW w:w="0" w:type="auto"/>
      <w:tblLayout w:type="fixed"/>
      <w:tblCellMar>
        <w:left w:w="0" w:type="dxa"/>
        <w:right w:w="0" w:type="dxa"/>
      </w:tblCellMar>
      <w:tblLook w:val="0000" w:firstRow="0" w:lastRow="0" w:firstColumn="0" w:lastColumn="0" w:noHBand="0" w:noVBand="0"/>
    </w:tblPr>
    <w:tblGrid>
      <w:gridCol w:w="7520"/>
    </w:tblGrid>
    <w:tr w:rsidR="00F07BED" w14:paraId="488787FA" w14:textId="77777777">
      <w:trPr>
        <w:trHeight w:val="400"/>
      </w:trPr>
      <w:tc>
        <w:tcPr>
          <w:tcW w:w="7520" w:type="dxa"/>
        </w:tcPr>
        <w:p w14:paraId="739EAFB0" w14:textId="138B1DCD" w:rsidR="00F07BED" w:rsidRDefault="00F07BED" w:rsidP="009C2446">
          <w:pPr>
            <w:adjustRightInd w:val="0"/>
            <w:spacing w:line="180" w:lineRule="exact"/>
            <w:rPr>
              <w:rFonts w:cs="RijksoverheidSansHeading-Regula"/>
              <w:sz w:val="13"/>
              <w:szCs w:val="13"/>
            </w:rPr>
          </w:pPr>
          <w:r w:rsidRPr="00821415">
            <w:rPr>
              <w:rFonts w:cs="RijksoverheidSansHeading-Regula"/>
              <w:sz w:val="13"/>
              <w:szCs w:val="13"/>
            </w:rPr>
            <w:t xml:space="preserve">Belastingdienst | </w:t>
          </w:r>
          <w:r>
            <w:rPr>
              <w:rFonts w:cs="RijksoverheidSansHeading-Regula"/>
              <w:sz w:val="13"/>
              <w:szCs w:val="13"/>
            </w:rPr>
            <w:t xml:space="preserve">Handleiding ‘Gegevensaanlevering van </w:t>
          </w:r>
          <w:r w:rsidR="00DC3C72">
            <w:rPr>
              <w:rFonts w:cs="RijksoverheidSansHeading-Regula"/>
              <w:sz w:val="13"/>
              <w:szCs w:val="13"/>
            </w:rPr>
            <w:t xml:space="preserve">in </w:t>
          </w:r>
          <w:r>
            <w:rPr>
              <w:rFonts w:cs="RijksoverheidSansHeading-Regula"/>
              <w:sz w:val="13"/>
              <w:szCs w:val="13"/>
            </w:rPr>
            <w:t xml:space="preserve">NL </w:t>
          </w:r>
          <w:r w:rsidR="00FC763E">
            <w:rPr>
              <w:rFonts w:cs="RijksoverheidSansHeading-Regula"/>
              <w:sz w:val="13"/>
              <w:szCs w:val="13"/>
            </w:rPr>
            <w:t>rapporterende aanbieder</w:t>
          </w:r>
          <w:r w:rsidR="005B7855">
            <w:rPr>
              <w:rFonts w:cs="RijksoverheidSansHeading-Regula"/>
              <w:sz w:val="13"/>
              <w:szCs w:val="13"/>
            </w:rPr>
            <w:t>s</w:t>
          </w:r>
          <w:r w:rsidR="00FC763E">
            <w:rPr>
              <w:rFonts w:cs="RijksoverheidSansHeading-Regula"/>
              <w:sz w:val="13"/>
              <w:szCs w:val="13"/>
            </w:rPr>
            <w:t xml:space="preserve"> van </w:t>
          </w:r>
          <w:proofErr w:type="spellStart"/>
          <w:r w:rsidR="00FC763E">
            <w:rPr>
              <w:rFonts w:cs="RijksoverheidSansHeading-Regula"/>
              <w:sz w:val="13"/>
              <w:szCs w:val="13"/>
            </w:rPr>
            <w:t>crytoactivadiensten</w:t>
          </w:r>
          <w:proofErr w:type="spellEnd"/>
          <w:r w:rsidR="00B75A37">
            <w:rPr>
              <w:rFonts w:cs="RijksoverheidSansHeading-Regula"/>
              <w:sz w:val="13"/>
              <w:szCs w:val="13"/>
            </w:rPr>
            <w:t>’.</w:t>
          </w:r>
          <w:r w:rsidR="006A2741">
            <w:rPr>
              <w:rFonts w:cs="RijksoverheidSansHeading-Regula"/>
              <w:sz w:val="13"/>
              <w:szCs w:val="13"/>
            </w:rPr>
            <w:t xml:space="preserve"> </w:t>
          </w:r>
        </w:p>
        <w:p w14:paraId="29C6D64B" w14:textId="6AE52CE2" w:rsidR="00F07BED" w:rsidRDefault="00F07BED" w:rsidP="009C2446">
          <w:pPr>
            <w:adjustRightInd w:val="0"/>
            <w:spacing w:line="180" w:lineRule="exact"/>
            <w:rPr>
              <w:rFonts w:cs="RijksoverheidSansHeading-Regula"/>
              <w:sz w:val="13"/>
              <w:szCs w:val="13"/>
            </w:rPr>
          </w:pPr>
          <w:r w:rsidRPr="003F34DF">
            <w:rPr>
              <w:rFonts w:cs="RijksoverheidSansHeading-Regula"/>
              <w:sz w:val="13"/>
              <w:szCs w:val="13"/>
            </w:rPr>
            <w:t xml:space="preserve">Deel </w:t>
          </w:r>
          <w:r>
            <w:rPr>
              <w:rFonts w:cs="RijksoverheidSansHeading-Regula"/>
              <w:sz w:val="13"/>
              <w:szCs w:val="13"/>
            </w:rPr>
            <w:t>1</w:t>
          </w:r>
          <w:r w:rsidRPr="003F34DF">
            <w:rPr>
              <w:rFonts w:cs="RijksoverheidSansHeading-Regula"/>
              <w:sz w:val="13"/>
              <w:szCs w:val="13"/>
            </w:rPr>
            <w:t xml:space="preserve"> </w:t>
          </w:r>
          <w:r>
            <w:rPr>
              <w:rFonts w:cs="RijksoverheidSansHeading-Regula"/>
              <w:sz w:val="13"/>
              <w:szCs w:val="13"/>
            </w:rPr>
            <w:t>- Algemeen</w:t>
          </w:r>
          <w:r w:rsidRPr="003F34DF">
            <w:rPr>
              <w:rFonts w:cs="RijksoverheidSansHeading-Regula"/>
              <w:sz w:val="13"/>
              <w:szCs w:val="13"/>
            </w:rPr>
            <w:t xml:space="preserve"> </w:t>
          </w:r>
          <w:r w:rsidRPr="00821415">
            <w:rPr>
              <w:rFonts w:cs="RijksoverheidSansHeading-Regula"/>
              <w:sz w:val="13"/>
              <w:szCs w:val="13"/>
            </w:rPr>
            <w:t>|</w:t>
          </w:r>
          <w:r>
            <w:rPr>
              <w:rFonts w:cs="RijksoverheidSansHeading-Regula"/>
              <w:sz w:val="13"/>
              <w:szCs w:val="13"/>
            </w:rPr>
            <w:t xml:space="preserve"> Versie </w:t>
          </w:r>
          <w:r w:rsidR="00B75A37">
            <w:rPr>
              <w:rFonts w:cs="RijksoverheidSansHeading-Regula"/>
              <w:sz w:val="13"/>
              <w:szCs w:val="13"/>
            </w:rPr>
            <w:t>1.</w:t>
          </w:r>
          <w:r w:rsidR="00ED0B74">
            <w:rPr>
              <w:rFonts w:cs="RijksoverheidSansHeading-Regula"/>
              <w:sz w:val="13"/>
              <w:szCs w:val="13"/>
            </w:rPr>
            <w:t>0</w:t>
          </w:r>
          <w:r>
            <w:rPr>
              <w:rFonts w:cs="RijksoverheidSansHeading-Regula"/>
              <w:sz w:val="13"/>
              <w:szCs w:val="13"/>
            </w:rPr>
            <w:t>. - 202</w:t>
          </w:r>
          <w:r w:rsidR="00FC763E">
            <w:rPr>
              <w:rFonts w:cs="RijksoverheidSansHeading-Regula"/>
              <w:sz w:val="13"/>
              <w:szCs w:val="13"/>
            </w:rPr>
            <w:t>5</w:t>
          </w:r>
          <w:r w:rsidR="00256E9B">
            <w:rPr>
              <w:rFonts w:cs="RijksoverheidSansHeading-Regula"/>
              <w:sz w:val="13"/>
              <w:szCs w:val="13"/>
            </w:rPr>
            <w:t>09</w:t>
          </w:r>
          <w:r w:rsidR="00165F92">
            <w:rPr>
              <w:rFonts w:cs="RijksoverheidSansHeading-Regula"/>
              <w:sz w:val="13"/>
              <w:szCs w:val="13"/>
            </w:rPr>
            <w:t>18</w:t>
          </w:r>
        </w:p>
        <w:p w14:paraId="1CE3FDF7" w14:textId="77777777" w:rsidR="00F07BED" w:rsidRDefault="00F07BED" w:rsidP="004949FA">
          <w:pPr>
            <w:adjustRightInd w:val="0"/>
            <w:spacing w:line="180" w:lineRule="exact"/>
            <w:rPr>
              <w:rFonts w:cs="RijksoverheidSansHeading-Regula"/>
              <w:sz w:val="13"/>
              <w:szCs w:val="13"/>
            </w:rPr>
          </w:pPr>
        </w:p>
        <w:p w14:paraId="4C17CFB1" w14:textId="77777777" w:rsidR="00ED0B74" w:rsidRPr="000B730D" w:rsidRDefault="00ED0B74" w:rsidP="004949FA">
          <w:pPr>
            <w:adjustRightInd w:val="0"/>
            <w:spacing w:line="180" w:lineRule="exact"/>
            <w:rPr>
              <w:rFonts w:cs="RijksoverheidSansHeading-Regula"/>
              <w:sz w:val="13"/>
              <w:szCs w:val="13"/>
            </w:rPr>
          </w:pPr>
        </w:p>
      </w:tc>
    </w:tr>
  </w:tbl>
  <w:p w14:paraId="12785106" w14:textId="77777777" w:rsidR="00F07BED" w:rsidRDefault="00F07B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EB07" w14:textId="77777777" w:rsidR="00F07BED" w:rsidRDefault="00F07BED">
    <w:r>
      <w:rPr>
        <w:noProof/>
      </w:rPr>
      <w:drawing>
        <wp:anchor distT="0" distB="0" distL="114300" distR="114300" simplePos="0" relativeHeight="251656191" behindDoc="0" locked="0" layoutInCell="1" allowOverlap="1" wp14:anchorId="2FFF1EB0" wp14:editId="69492578">
          <wp:simplePos x="0" y="0"/>
          <wp:positionH relativeFrom="margin">
            <wp:posOffset>-946207</wp:posOffset>
          </wp:positionH>
          <wp:positionV relativeFrom="margin">
            <wp:posOffset>-5253297</wp:posOffset>
          </wp:positionV>
          <wp:extent cx="5325110" cy="2308225"/>
          <wp:effectExtent l="0" t="0" r="8890" b="0"/>
          <wp:wrapSquare wrapText="bothSides"/>
          <wp:docPr id="51" name="Afbeelding 51" descr="RO_BD_Logo_2_7462C_pos_nl-L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BD_Logo_2_7462C_pos_nl-L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5110" cy="2308225"/>
                  </a:xfrm>
                  <a:prstGeom prst="rect">
                    <a:avLst/>
                  </a:prstGeom>
                  <a:noFill/>
                  <a:ln>
                    <a:noFill/>
                  </a:ln>
                </pic:spPr>
              </pic:pic>
            </a:graphicData>
          </a:graphic>
        </wp:anchor>
      </w:drawing>
    </w:r>
  </w:p>
  <w:p w14:paraId="761419D8" w14:textId="77777777" w:rsidR="00F07BED" w:rsidRDefault="00F07BED"/>
  <w:p w14:paraId="7C307D69" w14:textId="77777777" w:rsidR="00F07BED" w:rsidRDefault="00F07BED"/>
  <w:p w14:paraId="6B480E6B" w14:textId="77777777" w:rsidR="00F07BED" w:rsidRDefault="00F07BED"/>
  <w:p w14:paraId="465E00A7" w14:textId="77777777" w:rsidR="00F07BED" w:rsidRDefault="00F07BED"/>
  <w:p w14:paraId="1F4BE228" w14:textId="77777777" w:rsidR="00F07BED" w:rsidRDefault="00F07BED"/>
  <w:p w14:paraId="3D2FEA0E" w14:textId="77777777" w:rsidR="00F07BED" w:rsidRDefault="00F07BED"/>
  <w:p w14:paraId="7232E689" w14:textId="77777777" w:rsidR="00F07BED" w:rsidRDefault="00F07BED"/>
  <w:p w14:paraId="25C3129A" w14:textId="77777777" w:rsidR="00F07BED" w:rsidRDefault="00F07BED"/>
  <w:p w14:paraId="47AD6919" w14:textId="77777777" w:rsidR="00F07BED" w:rsidRDefault="00F07BED"/>
  <w:p w14:paraId="62A5C50A" w14:textId="77777777" w:rsidR="00F07BED" w:rsidRDefault="00F07BED"/>
  <w:p w14:paraId="0C84EC20" w14:textId="77777777" w:rsidR="00F07BED" w:rsidRDefault="00F07BED"/>
  <w:p w14:paraId="626332C8" w14:textId="77777777" w:rsidR="00F07BED" w:rsidRDefault="00F07BED"/>
  <w:p w14:paraId="12A0147A" w14:textId="77777777" w:rsidR="00F07BED" w:rsidRDefault="00F07BED"/>
  <w:p w14:paraId="223E3C6D" w14:textId="77777777" w:rsidR="00F07BED" w:rsidRDefault="00F07BED"/>
  <w:p w14:paraId="48A0EC9A" w14:textId="77777777" w:rsidR="00F07BED" w:rsidRDefault="00F07BED"/>
  <w:tbl>
    <w:tblPr>
      <w:tblW w:w="0" w:type="auto"/>
      <w:tblLayout w:type="fixed"/>
      <w:tblCellMar>
        <w:left w:w="0" w:type="dxa"/>
        <w:right w:w="0" w:type="dxa"/>
      </w:tblCellMar>
      <w:tblLook w:val="0000" w:firstRow="0" w:lastRow="0" w:firstColumn="0" w:lastColumn="0" w:noHBand="0" w:noVBand="0"/>
    </w:tblPr>
    <w:tblGrid>
      <w:gridCol w:w="6853"/>
    </w:tblGrid>
    <w:tr w:rsidR="00F07BED" w14:paraId="35584C83" w14:textId="77777777" w:rsidTr="009C2446">
      <w:trPr>
        <w:cantSplit/>
        <w:trHeight w:hRule="exact" w:val="3411"/>
      </w:trPr>
      <w:tc>
        <w:tcPr>
          <w:tcW w:w="6853" w:type="dxa"/>
        </w:tcPr>
        <w:tbl>
          <w:tblPr>
            <w:tblpPr w:leftFromText="141" w:rightFromText="141" w:vertAnchor="text" w:tblpY="1"/>
            <w:tblOverlap w:val="never"/>
            <w:tblW w:w="10050" w:type="dxa"/>
            <w:tblLayout w:type="fixed"/>
            <w:tblCellMar>
              <w:left w:w="0" w:type="dxa"/>
              <w:right w:w="0" w:type="dxa"/>
            </w:tblCellMar>
            <w:tblLook w:val="0000" w:firstRow="0" w:lastRow="0" w:firstColumn="0" w:lastColumn="0" w:noHBand="0" w:noVBand="0"/>
          </w:tblPr>
          <w:tblGrid>
            <w:gridCol w:w="10050"/>
          </w:tblGrid>
          <w:tr w:rsidR="00F07BED" w14:paraId="7D47D5DF" w14:textId="77777777" w:rsidTr="009C2446">
            <w:trPr>
              <w:cantSplit/>
              <w:trHeight w:hRule="exact" w:val="3446"/>
            </w:trPr>
            <w:tc>
              <w:tcPr>
                <w:tcW w:w="10050" w:type="dxa"/>
              </w:tcPr>
              <w:p w14:paraId="60A1A2F7" w14:textId="77777777" w:rsidR="00F07BED" w:rsidRPr="00833D12" w:rsidRDefault="00F07BED" w:rsidP="00833D12">
                <w:pPr>
                  <w:spacing w:before="240" w:after="240" w:line="200" w:lineRule="atLeast"/>
                  <w:rPr>
                    <w:b/>
                    <w:color w:val="4F81BD" w:themeColor="accent1"/>
                    <w:sz w:val="28"/>
                    <w:szCs w:val="28"/>
                  </w:rPr>
                </w:pPr>
                <w:r w:rsidRPr="00833D12">
                  <w:rPr>
                    <w:b/>
                    <w:color w:val="4F81BD" w:themeColor="accent1"/>
                    <w:sz w:val="28"/>
                    <w:szCs w:val="28"/>
                  </w:rPr>
                  <w:t>Handleiding</w:t>
                </w:r>
              </w:p>
              <w:p w14:paraId="4B8AB50B" w14:textId="7C1C0839" w:rsidR="00C6488B" w:rsidRDefault="00F07BED" w:rsidP="009C2446">
                <w:pPr>
                  <w:autoSpaceDE w:val="0"/>
                  <w:autoSpaceDN w:val="0"/>
                  <w:adjustRightInd w:val="0"/>
                  <w:rPr>
                    <w:rFonts w:cs="RijksoverheidSansHeading"/>
                    <w:bCs/>
                    <w:color w:val="000000"/>
                    <w:sz w:val="32"/>
                    <w:szCs w:val="32"/>
                  </w:rPr>
                </w:pPr>
                <w:r w:rsidRPr="00DD024A">
                  <w:rPr>
                    <w:rFonts w:cs="RijksoverheidSansHeading"/>
                    <w:bCs/>
                    <w:color w:val="000000"/>
                    <w:sz w:val="32"/>
                    <w:szCs w:val="32"/>
                  </w:rPr>
                  <w:t>Gegevensaanlevering van</w:t>
                </w:r>
                <w:r w:rsidR="00DC3C72">
                  <w:rPr>
                    <w:rFonts w:cs="RijksoverheidSansHeading"/>
                    <w:bCs/>
                    <w:color w:val="000000"/>
                    <w:sz w:val="32"/>
                    <w:szCs w:val="32"/>
                  </w:rPr>
                  <w:t xml:space="preserve"> in</w:t>
                </w:r>
                <w:r w:rsidRPr="00DD024A">
                  <w:rPr>
                    <w:rFonts w:cs="RijksoverheidSansHeading"/>
                    <w:bCs/>
                    <w:color w:val="000000"/>
                    <w:sz w:val="32"/>
                    <w:szCs w:val="32"/>
                  </w:rPr>
                  <w:t xml:space="preserve"> </w:t>
                </w:r>
                <w:r w:rsidRPr="00DD024A">
                  <w:rPr>
                    <w:rFonts w:cs="RijksoverheidSansHeading"/>
                    <w:bCs/>
                    <w:color w:val="000000"/>
                    <w:sz w:val="32"/>
                    <w:szCs w:val="32"/>
                  </w:rPr>
                  <w:br/>
                </w:r>
                <w:r>
                  <w:rPr>
                    <w:rFonts w:cs="RijksoverheidSansHeading"/>
                    <w:bCs/>
                    <w:color w:val="000000"/>
                    <w:sz w:val="32"/>
                    <w:szCs w:val="32"/>
                  </w:rPr>
                  <w:t>NL-</w:t>
                </w:r>
                <w:r w:rsidR="00C6488B">
                  <w:rPr>
                    <w:rFonts w:cs="RijksoverheidSansHeading"/>
                    <w:bCs/>
                    <w:color w:val="000000"/>
                    <w:sz w:val="32"/>
                    <w:szCs w:val="32"/>
                  </w:rPr>
                  <w:t xml:space="preserve">rapporterende aanbieder(s) van </w:t>
                </w:r>
              </w:p>
              <w:p w14:paraId="03D46066" w14:textId="13AA6C23" w:rsidR="006A2741" w:rsidRDefault="006A2741" w:rsidP="00C961FD">
                <w:pPr>
                  <w:autoSpaceDE w:val="0"/>
                  <w:autoSpaceDN w:val="0"/>
                  <w:adjustRightInd w:val="0"/>
                  <w:rPr>
                    <w:rFonts w:cs="RijksoverheidSansHeading"/>
                    <w:bCs/>
                    <w:color w:val="000000"/>
                    <w:sz w:val="32"/>
                    <w:szCs w:val="32"/>
                  </w:rPr>
                </w:pPr>
                <w:r>
                  <w:rPr>
                    <w:rFonts w:cs="RijksoverheidSansHeading"/>
                    <w:bCs/>
                    <w:color w:val="000000"/>
                    <w:sz w:val="32"/>
                    <w:szCs w:val="32"/>
                  </w:rPr>
                  <w:t>cr</w:t>
                </w:r>
                <w:r w:rsidR="00C6488B">
                  <w:rPr>
                    <w:rFonts w:cs="RijksoverheidSansHeading"/>
                    <w:bCs/>
                    <w:color w:val="000000"/>
                    <w:sz w:val="32"/>
                    <w:szCs w:val="32"/>
                  </w:rPr>
                  <w:t>yptoactivadiensten</w:t>
                </w:r>
                <w:r>
                  <w:rPr>
                    <w:rFonts w:cs="RijksoverheidSansHeading"/>
                    <w:bCs/>
                    <w:color w:val="000000"/>
                    <w:sz w:val="32"/>
                    <w:szCs w:val="32"/>
                  </w:rPr>
                  <w:t xml:space="preserve"> </w:t>
                </w:r>
              </w:p>
              <w:p w14:paraId="17C9EA26" w14:textId="77777777" w:rsidR="00C6488B" w:rsidRPr="003D7142" w:rsidRDefault="00C6488B" w:rsidP="009C2446">
                <w:pPr>
                  <w:autoSpaceDE w:val="0"/>
                  <w:autoSpaceDN w:val="0"/>
                  <w:adjustRightInd w:val="0"/>
                  <w:rPr>
                    <w:rFonts w:cs="RijksoverheidSansHeading"/>
                    <w:bCs/>
                    <w:color w:val="000000"/>
                    <w:sz w:val="24"/>
                  </w:rPr>
                </w:pPr>
              </w:p>
              <w:p w14:paraId="36851213" w14:textId="77777777" w:rsidR="00F07BED" w:rsidRDefault="00F07BED" w:rsidP="009C2446">
                <w:pPr>
                  <w:autoSpaceDE w:val="0"/>
                  <w:autoSpaceDN w:val="0"/>
                  <w:adjustRightInd w:val="0"/>
                  <w:rPr>
                    <w:rFonts w:cs="RijksoverheidSansHeading"/>
                    <w:bCs/>
                    <w:color w:val="000000"/>
                    <w:sz w:val="24"/>
                  </w:rPr>
                </w:pPr>
              </w:p>
              <w:p w14:paraId="2A133C4B" w14:textId="77777777" w:rsidR="00F07BED" w:rsidRDefault="00F07BED" w:rsidP="009C2446">
                <w:pPr>
                  <w:autoSpaceDE w:val="0"/>
                  <w:autoSpaceDN w:val="0"/>
                  <w:adjustRightInd w:val="0"/>
                  <w:rPr>
                    <w:rFonts w:cs="RijksoverheidSansHeading"/>
                    <w:bCs/>
                    <w:color w:val="000000"/>
                    <w:sz w:val="24"/>
                  </w:rPr>
                </w:pPr>
                <w:r>
                  <w:rPr>
                    <w:rFonts w:cs="RijksoverheidSansHeading"/>
                    <w:bCs/>
                    <w:color w:val="000000"/>
                    <w:sz w:val="24"/>
                  </w:rPr>
                  <w:t xml:space="preserve">Deel 1 – Algemeen </w:t>
                </w:r>
              </w:p>
              <w:p w14:paraId="3EFCD779" w14:textId="77777777" w:rsidR="00F07BED" w:rsidRDefault="00F07BED" w:rsidP="009C2446">
                <w:pPr>
                  <w:autoSpaceDE w:val="0"/>
                  <w:autoSpaceDN w:val="0"/>
                  <w:adjustRightInd w:val="0"/>
                  <w:rPr>
                    <w:rFonts w:cs="RijksoverheidSansHeading"/>
                    <w:bCs/>
                    <w:color w:val="000000"/>
                    <w:sz w:val="24"/>
                  </w:rPr>
                </w:pPr>
              </w:p>
              <w:p w14:paraId="04E308B7" w14:textId="62EC31AE" w:rsidR="00F07BED" w:rsidRDefault="00F07BED" w:rsidP="009C2446">
                <w:pPr>
                  <w:autoSpaceDE w:val="0"/>
                  <w:autoSpaceDN w:val="0"/>
                  <w:adjustRightInd w:val="0"/>
                  <w:rPr>
                    <w:rFonts w:cs="RijksoverheidSansHeading"/>
                    <w:bCs/>
                    <w:color w:val="000000"/>
                    <w:sz w:val="20"/>
                  </w:rPr>
                </w:pPr>
                <w:r>
                  <w:rPr>
                    <w:rFonts w:cs="RijksoverheidSansHeading"/>
                    <w:bCs/>
                    <w:color w:val="000000"/>
                    <w:sz w:val="24"/>
                  </w:rPr>
                  <w:t xml:space="preserve">Versie </w:t>
                </w:r>
                <w:r>
                  <w:rPr>
                    <w:rFonts w:cs="RijksoverheidSansHeading"/>
                    <w:bCs/>
                    <w:color w:val="000000"/>
                    <w:sz w:val="20"/>
                  </w:rPr>
                  <w:t>1.0 - 202</w:t>
                </w:r>
                <w:r w:rsidR="000751C3">
                  <w:rPr>
                    <w:rFonts w:cs="RijksoverheidSansHeading"/>
                    <w:bCs/>
                    <w:color w:val="000000"/>
                    <w:sz w:val="20"/>
                  </w:rPr>
                  <w:t>5</w:t>
                </w:r>
                <w:r w:rsidR="00256E9B">
                  <w:rPr>
                    <w:rFonts w:cs="RijksoverheidSansHeading"/>
                    <w:bCs/>
                    <w:color w:val="000000"/>
                    <w:sz w:val="20"/>
                  </w:rPr>
                  <w:t>09</w:t>
                </w:r>
                <w:r w:rsidR="00165F92">
                  <w:rPr>
                    <w:rFonts w:cs="RijksoverheidSansHeading"/>
                    <w:bCs/>
                    <w:color w:val="000000"/>
                    <w:sz w:val="20"/>
                  </w:rPr>
                  <w:t>18</w:t>
                </w:r>
              </w:p>
              <w:p w14:paraId="14D1FA19" w14:textId="77777777" w:rsidR="00F07BED" w:rsidRDefault="00F07BED" w:rsidP="009C2446">
                <w:pPr>
                  <w:ind w:left="240" w:hanging="240"/>
                  <w:rPr>
                    <w:rFonts w:cs="RijksoverheidSansHeading"/>
                    <w:bCs/>
                    <w:color w:val="000000"/>
                    <w:sz w:val="20"/>
                  </w:rPr>
                </w:pPr>
              </w:p>
              <w:p w14:paraId="56744B9A" w14:textId="77777777" w:rsidR="00F07BED" w:rsidRDefault="00F07BED" w:rsidP="009C2446">
                <w:pPr>
                  <w:ind w:left="240" w:hanging="240"/>
                  <w:rPr>
                    <w:rFonts w:cs="RijksoverheidSansHeading"/>
                    <w:bCs/>
                    <w:color w:val="000000"/>
                    <w:sz w:val="20"/>
                  </w:rPr>
                </w:pPr>
              </w:p>
              <w:p w14:paraId="46852777" w14:textId="77777777" w:rsidR="00F07BED" w:rsidRDefault="00F07BED" w:rsidP="009C2446"/>
            </w:tc>
          </w:tr>
          <w:tr w:rsidR="00F07BED" w14:paraId="2D44E548" w14:textId="77777777" w:rsidTr="009C2446">
            <w:trPr>
              <w:cantSplit/>
              <w:trHeight w:hRule="exact" w:val="72"/>
            </w:trPr>
            <w:tc>
              <w:tcPr>
                <w:tcW w:w="10050" w:type="dxa"/>
              </w:tcPr>
              <w:p w14:paraId="47E4BD74" w14:textId="77777777" w:rsidR="00F07BED" w:rsidRPr="000C13F5" w:rsidRDefault="00F07BED" w:rsidP="009C2446">
                <w:pPr>
                  <w:autoSpaceDE w:val="0"/>
                  <w:autoSpaceDN w:val="0"/>
                  <w:adjustRightInd w:val="0"/>
                  <w:rPr>
                    <w:rFonts w:cs="RijksoverheidSansHeading-Bold"/>
                    <w:b/>
                    <w:bCs/>
                    <w:color w:val="548DD4"/>
                    <w:sz w:val="28"/>
                    <w:szCs w:val="28"/>
                  </w:rPr>
                </w:pPr>
              </w:p>
            </w:tc>
          </w:tr>
        </w:tbl>
        <w:p w14:paraId="471CC257" w14:textId="77777777" w:rsidR="00F07BED" w:rsidRPr="009C2446" w:rsidRDefault="00F07BED" w:rsidP="009C2446"/>
      </w:tc>
    </w:tr>
  </w:tbl>
  <w:p w14:paraId="177C0D51" w14:textId="77777777" w:rsidR="00F07BED" w:rsidRDefault="00F07BED"/>
  <w:p w14:paraId="0D179A18" w14:textId="77777777" w:rsidR="00F07BED" w:rsidRDefault="00F07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15EB7DE"/>
    <w:lvl w:ilvl="0">
      <w:start w:val="1"/>
      <w:numFmt w:val="decimal"/>
      <w:pStyle w:val="Lijstnummering2"/>
      <w:lvlText w:val="%1"/>
      <w:lvlJc w:val="left"/>
      <w:pPr>
        <w:tabs>
          <w:tab w:val="num" w:pos="454"/>
        </w:tabs>
        <w:ind w:left="454" w:hanging="227"/>
      </w:pPr>
      <w:rPr>
        <w:rFonts w:hint="default"/>
        <w:color w:val="auto"/>
      </w:rPr>
    </w:lvl>
  </w:abstractNum>
  <w:abstractNum w:abstractNumId="1" w15:restartNumberingAfterBreak="0">
    <w:nsid w:val="FFFFFF88"/>
    <w:multiLevelType w:val="singleLevel"/>
    <w:tmpl w:val="3DBE1362"/>
    <w:lvl w:ilvl="0">
      <w:start w:val="1"/>
      <w:numFmt w:val="decimal"/>
      <w:pStyle w:val="Lijstnummering"/>
      <w:lvlText w:val="%1"/>
      <w:lvlJc w:val="left"/>
      <w:pPr>
        <w:tabs>
          <w:tab w:val="num" w:pos="227"/>
        </w:tabs>
        <w:ind w:left="227" w:hanging="227"/>
      </w:pPr>
      <w:rPr>
        <w:rFonts w:hint="default"/>
      </w:rPr>
    </w:lvl>
  </w:abstractNum>
  <w:abstractNum w:abstractNumId="2" w15:restartNumberingAfterBreak="0">
    <w:nsid w:val="0000001E"/>
    <w:multiLevelType w:val="singleLevel"/>
    <w:tmpl w:val="0000001E"/>
    <w:name w:val="WW8Num29"/>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20"/>
    <w:multiLevelType w:val="singleLevel"/>
    <w:tmpl w:val="00000020"/>
    <w:name w:val="WW8Num31"/>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22"/>
    <w:multiLevelType w:val="singleLevel"/>
    <w:tmpl w:val="00000022"/>
    <w:name w:val="WW8Num33"/>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27"/>
    <w:multiLevelType w:val="singleLevel"/>
    <w:tmpl w:val="00000027"/>
    <w:name w:val="WW8Num38"/>
    <w:lvl w:ilvl="0">
      <w:start w:val="1"/>
      <w:numFmt w:val="decimal"/>
      <w:lvlText w:val="%1."/>
      <w:lvlJc w:val="left"/>
      <w:pPr>
        <w:tabs>
          <w:tab w:val="num" w:pos="360"/>
        </w:tabs>
        <w:ind w:left="360" w:hanging="360"/>
      </w:pPr>
    </w:lvl>
  </w:abstractNum>
  <w:abstractNum w:abstractNumId="6" w15:restartNumberingAfterBreak="0">
    <w:nsid w:val="0000002C"/>
    <w:multiLevelType w:val="singleLevel"/>
    <w:tmpl w:val="0000002C"/>
    <w:name w:val="WW8Num43"/>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2F"/>
    <w:multiLevelType w:val="singleLevel"/>
    <w:tmpl w:val="0000002F"/>
    <w:name w:val="WW8Num46"/>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34"/>
    <w:multiLevelType w:val="singleLevel"/>
    <w:tmpl w:val="00000034"/>
    <w:name w:val="WW8Num51"/>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35"/>
    <w:multiLevelType w:val="singleLevel"/>
    <w:tmpl w:val="00000035"/>
    <w:name w:val="WW8Num5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36"/>
    <w:multiLevelType w:val="singleLevel"/>
    <w:tmpl w:val="00000036"/>
    <w:name w:val="WW8Num53"/>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37"/>
    <w:multiLevelType w:val="singleLevel"/>
    <w:tmpl w:val="00000037"/>
    <w:name w:val="WW8Num54"/>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39"/>
    <w:multiLevelType w:val="singleLevel"/>
    <w:tmpl w:val="00000039"/>
    <w:name w:val="WW8Num5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40"/>
    <w:multiLevelType w:val="singleLevel"/>
    <w:tmpl w:val="00000040"/>
    <w:name w:val="WW8Num64"/>
    <w:lvl w:ilvl="0">
      <w:numFmt w:val="bullet"/>
      <w:lvlText w:val="-"/>
      <w:lvlJc w:val="left"/>
      <w:pPr>
        <w:tabs>
          <w:tab w:val="num" w:pos="1316"/>
        </w:tabs>
        <w:ind w:left="1316" w:hanging="390"/>
      </w:pPr>
      <w:rPr>
        <w:rFonts w:ascii="Times New Roman" w:hAnsi="Times New Roman"/>
        <w:sz w:val="18"/>
      </w:rPr>
    </w:lvl>
  </w:abstractNum>
  <w:abstractNum w:abstractNumId="14" w15:restartNumberingAfterBreak="0">
    <w:nsid w:val="00000044"/>
    <w:multiLevelType w:val="singleLevel"/>
    <w:tmpl w:val="00000044"/>
    <w:name w:val="WW8Num68"/>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46"/>
    <w:multiLevelType w:val="singleLevel"/>
    <w:tmpl w:val="00000046"/>
    <w:name w:val="WW8Num70"/>
    <w:lvl w:ilvl="0">
      <w:numFmt w:val="bullet"/>
      <w:lvlText w:val="-"/>
      <w:lvlJc w:val="left"/>
      <w:pPr>
        <w:tabs>
          <w:tab w:val="num" w:pos="1316"/>
        </w:tabs>
        <w:ind w:left="1316" w:hanging="390"/>
      </w:pPr>
      <w:rPr>
        <w:rFonts w:ascii="Times New Roman" w:hAnsi="Times New Roman"/>
        <w:sz w:val="18"/>
      </w:rPr>
    </w:lvl>
  </w:abstractNum>
  <w:abstractNum w:abstractNumId="16" w15:restartNumberingAfterBreak="0">
    <w:nsid w:val="00000049"/>
    <w:multiLevelType w:val="singleLevel"/>
    <w:tmpl w:val="00000049"/>
    <w:name w:val="WW8Num7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4C"/>
    <w:multiLevelType w:val="singleLevel"/>
    <w:tmpl w:val="0000004C"/>
    <w:name w:val="WW8Num77"/>
    <w:lvl w:ilvl="0">
      <w:numFmt w:val="bullet"/>
      <w:lvlText w:val="-"/>
      <w:lvlJc w:val="left"/>
      <w:pPr>
        <w:tabs>
          <w:tab w:val="num" w:pos="1316"/>
        </w:tabs>
        <w:ind w:left="1316" w:hanging="390"/>
      </w:pPr>
      <w:rPr>
        <w:rFonts w:ascii="Times New Roman" w:hAnsi="Times New Roman"/>
        <w:sz w:val="18"/>
      </w:rPr>
    </w:lvl>
  </w:abstractNum>
  <w:abstractNum w:abstractNumId="18" w15:restartNumberingAfterBreak="0">
    <w:nsid w:val="0000004D"/>
    <w:multiLevelType w:val="singleLevel"/>
    <w:tmpl w:val="0000004D"/>
    <w:name w:val="WW8Num78"/>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4E"/>
    <w:multiLevelType w:val="singleLevel"/>
    <w:tmpl w:val="0000004E"/>
    <w:name w:val="WW8Num79"/>
    <w:lvl w:ilvl="0">
      <w:start w:val="1"/>
      <w:numFmt w:val="bullet"/>
      <w:lvlText w:val=""/>
      <w:lvlJc w:val="left"/>
      <w:pPr>
        <w:tabs>
          <w:tab w:val="num" w:pos="360"/>
        </w:tabs>
        <w:ind w:left="360" w:hanging="360"/>
      </w:pPr>
      <w:rPr>
        <w:rFonts w:ascii="Symbol" w:hAnsi="Symbol"/>
      </w:rPr>
    </w:lvl>
  </w:abstractNum>
  <w:abstractNum w:abstractNumId="20" w15:restartNumberingAfterBreak="0">
    <w:nsid w:val="00000050"/>
    <w:multiLevelType w:val="singleLevel"/>
    <w:tmpl w:val="00000050"/>
    <w:name w:val="WW8Num81"/>
    <w:lvl w:ilvl="0">
      <w:start w:val="1"/>
      <w:numFmt w:val="bullet"/>
      <w:lvlText w:val=""/>
      <w:lvlJc w:val="left"/>
      <w:pPr>
        <w:tabs>
          <w:tab w:val="num" w:pos="360"/>
        </w:tabs>
        <w:ind w:left="360" w:hanging="360"/>
      </w:pPr>
      <w:rPr>
        <w:rFonts w:ascii="Symbol" w:hAnsi="Symbol"/>
      </w:rPr>
    </w:lvl>
  </w:abstractNum>
  <w:abstractNum w:abstractNumId="21" w15:restartNumberingAfterBreak="0">
    <w:nsid w:val="07B97254"/>
    <w:multiLevelType w:val="hybridMultilevel"/>
    <w:tmpl w:val="BEDA2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09D434AC"/>
    <w:multiLevelType w:val="multilevel"/>
    <w:tmpl w:val="1AC0A026"/>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b/>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3"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0F24639"/>
    <w:multiLevelType w:val="hybridMultilevel"/>
    <w:tmpl w:val="9C7EFFB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D0918A9"/>
    <w:multiLevelType w:val="hybridMultilevel"/>
    <w:tmpl w:val="72406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1EB24CE2"/>
    <w:multiLevelType w:val="hybridMultilevel"/>
    <w:tmpl w:val="7FB0FABE"/>
    <w:lvl w:ilvl="0" w:tplc="04130017">
      <w:start w:val="1"/>
      <w:numFmt w:val="lowerLetter"/>
      <w:lvlText w:val="%1)"/>
      <w:lvlJc w:val="left"/>
      <w:pPr>
        <w:ind w:left="720" w:hanging="360"/>
      </w:pPr>
      <w:rPr>
        <w:rFonts w:hint="default"/>
      </w:rPr>
    </w:lvl>
    <w:lvl w:ilvl="1" w:tplc="184C6BE8">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1FD910B2"/>
    <w:multiLevelType w:val="hybridMultilevel"/>
    <w:tmpl w:val="F0FC88CA"/>
    <w:lvl w:ilvl="0" w:tplc="5096EE42">
      <w:start w:val="1"/>
      <w:numFmt w:val="decimal"/>
      <w:lvlText w:val="%1)"/>
      <w:lvlJc w:val="left"/>
      <w:pPr>
        <w:ind w:left="720" w:hanging="360"/>
      </w:pPr>
      <w:rPr>
        <w:rFonts w:cs="Times New Roman"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04B1AE1"/>
    <w:multiLevelType w:val="hybridMultilevel"/>
    <w:tmpl w:val="A8AA2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8FD1B9A"/>
    <w:multiLevelType w:val="hybridMultilevel"/>
    <w:tmpl w:val="32D2E9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5512986"/>
    <w:multiLevelType w:val="hybridMultilevel"/>
    <w:tmpl w:val="E99C9B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93B4676"/>
    <w:multiLevelType w:val="hybridMultilevel"/>
    <w:tmpl w:val="0ADE27A8"/>
    <w:lvl w:ilvl="0" w:tplc="CCA8DC7A">
      <w:start w:val="1"/>
      <w:numFmt w:val="decimal"/>
      <w:lvlText w:val="bijlage %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A4D4F2A"/>
    <w:multiLevelType w:val="hybridMultilevel"/>
    <w:tmpl w:val="73A29A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3BD46215"/>
    <w:multiLevelType w:val="hybridMultilevel"/>
    <w:tmpl w:val="181426AA"/>
    <w:lvl w:ilvl="0" w:tplc="04130001">
      <w:start w:val="1"/>
      <w:numFmt w:val="bullet"/>
      <w:lvlText w:val=""/>
      <w:lvlJc w:val="left"/>
      <w:pPr>
        <w:ind w:left="848" w:hanging="360"/>
      </w:pPr>
      <w:rPr>
        <w:rFonts w:ascii="Symbol" w:hAnsi="Symbol" w:hint="default"/>
      </w:rPr>
    </w:lvl>
    <w:lvl w:ilvl="1" w:tplc="04130003" w:tentative="1">
      <w:start w:val="1"/>
      <w:numFmt w:val="bullet"/>
      <w:lvlText w:val="o"/>
      <w:lvlJc w:val="left"/>
      <w:pPr>
        <w:ind w:left="1568" w:hanging="360"/>
      </w:pPr>
      <w:rPr>
        <w:rFonts w:ascii="Courier New" w:hAnsi="Courier New" w:cs="Courier New" w:hint="default"/>
      </w:rPr>
    </w:lvl>
    <w:lvl w:ilvl="2" w:tplc="04130005" w:tentative="1">
      <w:start w:val="1"/>
      <w:numFmt w:val="bullet"/>
      <w:lvlText w:val=""/>
      <w:lvlJc w:val="left"/>
      <w:pPr>
        <w:ind w:left="2288" w:hanging="360"/>
      </w:pPr>
      <w:rPr>
        <w:rFonts w:ascii="Wingdings" w:hAnsi="Wingdings" w:hint="default"/>
      </w:rPr>
    </w:lvl>
    <w:lvl w:ilvl="3" w:tplc="04130001" w:tentative="1">
      <w:start w:val="1"/>
      <w:numFmt w:val="bullet"/>
      <w:lvlText w:val=""/>
      <w:lvlJc w:val="left"/>
      <w:pPr>
        <w:ind w:left="3008" w:hanging="360"/>
      </w:pPr>
      <w:rPr>
        <w:rFonts w:ascii="Symbol" w:hAnsi="Symbol" w:hint="default"/>
      </w:rPr>
    </w:lvl>
    <w:lvl w:ilvl="4" w:tplc="04130003" w:tentative="1">
      <w:start w:val="1"/>
      <w:numFmt w:val="bullet"/>
      <w:lvlText w:val="o"/>
      <w:lvlJc w:val="left"/>
      <w:pPr>
        <w:ind w:left="3728" w:hanging="360"/>
      </w:pPr>
      <w:rPr>
        <w:rFonts w:ascii="Courier New" w:hAnsi="Courier New" w:cs="Courier New" w:hint="default"/>
      </w:rPr>
    </w:lvl>
    <w:lvl w:ilvl="5" w:tplc="04130005" w:tentative="1">
      <w:start w:val="1"/>
      <w:numFmt w:val="bullet"/>
      <w:lvlText w:val=""/>
      <w:lvlJc w:val="left"/>
      <w:pPr>
        <w:ind w:left="4448" w:hanging="360"/>
      </w:pPr>
      <w:rPr>
        <w:rFonts w:ascii="Wingdings" w:hAnsi="Wingdings" w:hint="default"/>
      </w:rPr>
    </w:lvl>
    <w:lvl w:ilvl="6" w:tplc="04130001" w:tentative="1">
      <w:start w:val="1"/>
      <w:numFmt w:val="bullet"/>
      <w:lvlText w:val=""/>
      <w:lvlJc w:val="left"/>
      <w:pPr>
        <w:ind w:left="5168" w:hanging="360"/>
      </w:pPr>
      <w:rPr>
        <w:rFonts w:ascii="Symbol" w:hAnsi="Symbol" w:hint="default"/>
      </w:rPr>
    </w:lvl>
    <w:lvl w:ilvl="7" w:tplc="04130003" w:tentative="1">
      <w:start w:val="1"/>
      <w:numFmt w:val="bullet"/>
      <w:lvlText w:val="o"/>
      <w:lvlJc w:val="left"/>
      <w:pPr>
        <w:ind w:left="5888" w:hanging="360"/>
      </w:pPr>
      <w:rPr>
        <w:rFonts w:ascii="Courier New" w:hAnsi="Courier New" w:cs="Courier New" w:hint="default"/>
      </w:rPr>
    </w:lvl>
    <w:lvl w:ilvl="8" w:tplc="04130005" w:tentative="1">
      <w:start w:val="1"/>
      <w:numFmt w:val="bullet"/>
      <w:lvlText w:val=""/>
      <w:lvlJc w:val="left"/>
      <w:pPr>
        <w:ind w:left="6608" w:hanging="360"/>
      </w:pPr>
      <w:rPr>
        <w:rFonts w:ascii="Wingdings" w:hAnsi="Wingdings" w:hint="default"/>
      </w:rPr>
    </w:lvl>
  </w:abstractNum>
  <w:abstractNum w:abstractNumId="34" w15:restartNumberingAfterBreak="0">
    <w:nsid w:val="441E7567"/>
    <w:multiLevelType w:val="hybridMultilevel"/>
    <w:tmpl w:val="F31E82F4"/>
    <w:lvl w:ilvl="0" w:tplc="FFFFFFFF">
      <w:start w:val="1"/>
      <w:numFmt w:val="decimal"/>
      <w:lvlText w:val="%1."/>
      <w:lvlJc w:val="left"/>
      <w:pPr>
        <w:ind w:left="720" w:hanging="360"/>
      </w:pPr>
    </w:lvl>
    <w:lvl w:ilvl="1" w:tplc="0413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977232"/>
    <w:multiLevelType w:val="hybridMultilevel"/>
    <w:tmpl w:val="FF502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2850138"/>
    <w:multiLevelType w:val="hybridMultilevel"/>
    <w:tmpl w:val="305EE3AE"/>
    <w:lvl w:ilvl="0" w:tplc="0F767C12">
      <w:numFmt w:val="bullet"/>
      <w:lvlText w:val="-"/>
      <w:lvlJc w:val="left"/>
      <w:pPr>
        <w:ind w:left="360" w:hanging="360"/>
      </w:pPr>
      <w:rPr>
        <w:rFonts w:ascii="Verdana" w:eastAsiaTheme="minorHAnsi" w:hAnsi="Verdana" w:cstheme="min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4EF2399"/>
    <w:multiLevelType w:val="hybridMultilevel"/>
    <w:tmpl w:val="7E3893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5377512"/>
    <w:multiLevelType w:val="hybridMultilevel"/>
    <w:tmpl w:val="3D74D8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CF3BBB"/>
    <w:multiLevelType w:val="hybridMultilevel"/>
    <w:tmpl w:val="83C2221A"/>
    <w:lvl w:ilvl="0" w:tplc="0809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D106904"/>
    <w:multiLevelType w:val="hybridMultilevel"/>
    <w:tmpl w:val="70C471FE"/>
    <w:lvl w:ilvl="0" w:tplc="FFFFFFFF">
      <w:start w:val="1"/>
      <w:numFmt w:val="decimal"/>
      <w:lvlText w:val="%1."/>
      <w:lvlJc w:val="left"/>
      <w:pPr>
        <w:ind w:left="720" w:hanging="360"/>
      </w:pPr>
    </w:lvl>
    <w:lvl w:ilvl="1" w:tplc="0413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500AE4"/>
    <w:multiLevelType w:val="hybridMultilevel"/>
    <w:tmpl w:val="E73C96F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43" w15:restartNumberingAfterBreak="0">
    <w:nsid w:val="7A222F27"/>
    <w:multiLevelType w:val="hybridMultilevel"/>
    <w:tmpl w:val="3B5234EC"/>
    <w:lvl w:ilvl="0" w:tplc="04130011">
      <w:start w:val="1"/>
      <w:numFmt w:val="decimal"/>
      <w:lvlText w:val="%1)"/>
      <w:lvlJc w:val="left"/>
      <w:pPr>
        <w:ind w:left="720" w:hanging="360"/>
      </w:pPr>
      <w:rPr>
        <w:rFonts w:hint="default"/>
      </w:rPr>
    </w:lvl>
    <w:lvl w:ilvl="1" w:tplc="4370B0FE">
      <w:numFmt w:val="bullet"/>
      <w:lvlText w:val="•"/>
      <w:lvlJc w:val="left"/>
      <w:pPr>
        <w:ind w:left="1440" w:hanging="360"/>
      </w:pPr>
      <w:rPr>
        <w:rFonts w:ascii="Verdana" w:eastAsia="Times New Roman" w:hAnsi="Verdana" w:cs="Times New Roman" w:hint="default"/>
      </w:rPr>
    </w:lvl>
    <w:lvl w:ilvl="2" w:tplc="A9FA6B20">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F233BD9"/>
    <w:multiLevelType w:val="hybridMultilevel"/>
    <w:tmpl w:val="0BAAFD16"/>
    <w:lvl w:ilvl="0" w:tplc="CEDEAB7C">
      <w:start w:val="1"/>
      <w:numFmt w:val="bullet"/>
      <w:lvlText w:val=""/>
      <w:lvlJc w:val="left"/>
      <w:pPr>
        <w:ind w:left="360" w:hanging="360"/>
      </w:pPr>
      <w:rPr>
        <w:rFonts w:ascii="Symbol" w:hAnsi="Symbol" w:hint="default"/>
        <w:sz w:val="2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FC1707A"/>
    <w:multiLevelType w:val="hybridMultilevel"/>
    <w:tmpl w:val="8DDEF71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9617485">
    <w:abstractNumId w:val="1"/>
  </w:num>
  <w:num w:numId="2" w16cid:durableId="328021870">
    <w:abstractNumId w:val="0"/>
  </w:num>
  <w:num w:numId="3" w16cid:durableId="2088064482">
    <w:abstractNumId w:val="22"/>
  </w:num>
  <w:num w:numId="4" w16cid:durableId="837771036">
    <w:abstractNumId w:val="42"/>
  </w:num>
  <w:num w:numId="5" w16cid:durableId="16092383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2376140">
    <w:abstractNumId w:val="31"/>
  </w:num>
  <w:num w:numId="7" w16cid:durableId="1646082626">
    <w:abstractNumId w:val="23"/>
  </w:num>
  <w:num w:numId="8" w16cid:durableId="1769735278">
    <w:abstractNumId w:val="30"/>
  </w:num>
  <w:num w:numId="9" w16cid:durableId="842934452">
    <w:abstractNumId w:val="44"/>
  </w:num>
  <w:num w:numId="10" w16cid:durableId="2127000873">
    <w:abstractNumId w:val="28"/>
  </w:num>
  <w:num w:numId="11" w16cid:durableId="1755973542">
    <w:abstractNumId w:val="27"/>
  </w:num>
  <w:num w:numId="12" w16cid:durableId="1057049818">
    <w:abstractNumId w:val="26"/>
  </w:num>
  <w:num w:numId="13" w16cid:durableId="667055750">
    <w:abstractNumId w:val="33"/>
  </w:num>
  <w:num w:numId="14" w16cid:durableId="1338970149">
    <w:abstractNumId w:val="25"/>
  </w:num>
  <w:num w:numId="15" w16cid:durableId="621309769">
    <w:abstractNumId w:val="21"/>
  </w:num>
  <w:num w:numId="16" w16cid:durableId="2127042523">
    <w:abstractNumId w:val="35"/>
  </w:num>
  <w:num w:numId="17" w16cid:durableId="1926914132">
    <w:abstractNumId w:val="32"/>
  </w:num>
  <w:num w:numId="18" w16cid:durableId="558323870">
    <w:abstractNumId w:val="45"/>
  </w:num>
  <w:num w:numId="19" w16cid:durableId="336855401">
    <w:abstractNumId w:val="40"/>
  </w:num>
  <w:num w:numId="20" w16cid:durableId="2085566958">
    <w:abstractNumId w:val="36"/>
  </w:num>
  <w:num w:numId="21" w16cid:durableId="212354733">
    <w:abstractNumId w:val="24"/>
  </w:num>
  <w:num w:numId="22" w16cid:durableId="1986274587">
    <w:abstractNumId w:val="29"/>
  </w:num>
  <w:num w:numId="23" w16cid:durableId="1502156853">
    <w:abstractNumId w:val="43"/>
  </w:num>
  <w:num w:numId="24" w16cid:durableId="1700399025">
    <w:abstractNumId w:val="37"/>
  </w:num>
  <w:num w:numId="25" w16cid:durableId="1303656450">
    <w:abstractNumId w:val="22"/>
  </w:num>
  <w:num w:numId="26" w16cid:durableId="1456218195">
    <w:abstractNumId w:val="39"/>
  </w:num>
  <w:num w:numId="27" w16cid:durableId="2039548038">
    <w:abstractNumId w:val="38"/>
  </w:num>
  <w:num w:numId="28" w16cid:durableId="653922052">
    <w:abstractNumId w:val="22"/>
  </w:num>
  <w:num w:numId="29" w16cid:durableId="1358044793">
    <w:abstractNumId w:val="22"/>
  </w:num>
  <w:num w:numId="30" w16cid:durableId="1293948130">
    <w:abstractNumId w:val="22"/>
  </w:num>
  <w:num w:numId="31" w16cid:durableId="1060637569">
    <w:abstractNumId w:val="34"/>
  </w:num>
  <w:num w:numId="32" w16cid:durableId="69616339">
    <w:abstractNumId w:val="41"/>
  </w:num>
  <w:num w:numId="33" w16cid:durableId="679815230">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oNotTrackFormatting/>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DD"/>
    <w:rsid w:val="00000986"/>
    <w:rsid w:val="00001C6F"/>
    <w:rsid w:val="0000201D"/>
    <w:rsid w:val="00002C61"/>
    <w:rsid w:val="00003B58"/>
    <w:rsid w:val="00003DA3"/>
    <w:rsid w:val="00004002"/>
    <w:rsid w:val="00004034"/>
    <w:rsid w:val="00004661"/>
    <w:rsid w:val="00004B99"/>
    <w:rsid w:val="00005EF4"/>
    <w:rsid w:val="00005F0A"/>
    <w:rsid w:val="0000664D"/>
    <w:rsid w:val="00006B16"/>
    <w:rsid w:val="00007234"/>
    <w:rsid w:val="00007790"/>
    <w:rsid w:val="000078D7"/>
    <w:rsid w:val="0001013F"/>
    <w:rsid w:val="0001042E"/>
    <w:rsid w:val="00010B92"/>
    <w:rsid w:val="0001135C"/>
    <w:rsid w:val="0001173D"/>
    <w:rsid w:val="00011AF5"/>
    <w:rsid w:val="000129AC"/>
    <w:rsid w:val="00012B53"/>
    <w:rsid w:val="00012F9F"/>
    <w:rsid w:val="00013FAF"/>
    <w:rsid w:val="00014646"/>
    <w:rsid w:val="00014B27"/>
    <w:rsid w:val="000153E4"/>
    <w:rsid w:val="0001561C"/>
    <w:rsid w:val="000156CF"/>
    <w:rsid w:val="000167A4"/>
    <w:rsid w:val="000168F4"/>
    <w:rsid w:val="00016B22"/>
    <w:rsid w:val="00016C7A"/>
    <w:rsid w:val="00016F2C"/>
    <w:rsid w:val="000173E0"/>
    <w:rsid w:val="000174FC"/>
    <w:rsid w:val="00017ED4"/>
    <w:rsid w:val="00017F9A"/>
    <w:rsid w:val="0002130A"/>
    <w:rsid w:val="00021E7F"/>
    <w:rsid w:val="00022530"/>
    <w:rsid w:val="00022C2D"/>
    <w:rsid w:val="00022C73"/>
    <w:rsid w:val="0002358F"/>
    <w:rsid w:val="000237BD"/>
    <w:rsid w:val="000237F6"/>
    <w:rsid w:val="000239FD"/>
    <w:rsid w:val="0002530F"/>
    <w:rsid w:val="000256CC"/>
    <w:rsid w:val="00025B15"/>
    <w:rsid w:val="00026A7F"/>
    <w:rsid w:val="00027A07"/>
    <w:rsid w:val="00027A83"/>
    <w:rsid w:val="00027D17"/>
    <w:rsid w:val="0003021D"/>
    <w:rsid w:val="000309FD"/>
    <w:rsid w:val="00030EEA"/>
    <w:rsid w:val="00031003"/>
    <w:rsid w:val="000315F5"/>
    <w:rsid w:val="000319E8"/>
    <w:rsid w:val="00032B84"/>
    <w:rsid w:val="00032CC5"/>
    <w:rsid w:val="00032F6D"/>
    <w:rsid w:val="000330DE"/>
    <w:rsid w:val="00033F19"/>
    <w:rsid w:val="00034DC6"/>
    <w:rsid w:val="000351D1"/>
    <w:rsid w:val="0003610E"/>
    <w:rsid w:val="00036ECA"/>
    <w:rsid w:val="00036F67"/>
    <w:rsid w:val="00037A5A"/>
    <w:rsid w:val="00040218"/>
    <w:rsid w:val="0004157C"/>
    <w:rsid w:val="000415BF"/>
    <w:rsid w:val="00041F54"/>
    <w:rsid w:val="00042270"/>
    <w:rsid w:val="00042CDF"/>
    <w:rsid w:val="00042EEF"/>
    <w:rsid w:val="00043B29"/>
    <w:rsid w:val="00043BBF"/>
    <w:rsid w:val="00044456"/>
    <w:rsid w:val="00044C9C"/>
    <w:rsid w:val="000458C0"/>
    <w:rsid w:val="00045CA6"/>
    <w:rsid w:val="00045F02"/>
    <w:rsid w:val="00046430"/>
    <w:rsid w:val="00046ADD"/>
    <w:rsid w:val="00046D2F"/>
    <w:rsid w:val="00046E22"/>
    <w:rsid w:val="00047D5A"/>
    <w:rsid w:val="00051CD5"/>
    <w:rsid w:val="00051FA3"/>
    <w:rsid w:val="0005243A"/>
    <w:rsid w:val="00052C38"/>
    <w:rsid w:val="000538EE"/>
    <w:rsid w:val="00053FF9"/>
    <w:rsid w:val="00056526"/>
    <w:rsid w:val="00057976"/>
    <w:rsid w:val="000603EE"/>
    <w:rsid w:val="00060FC5"/>
    <w:rsid w:val="00061004"/>
    <w:rsid w:val="000613FD"/>
    <w:rsid w:val="00061832"/>
    <w:rsid w:val="00061BC1"/>
    <w:rsid w:val="000635C6"/>
    <w:rsid w:val="0006361C"/>
    <w:rsid w:val="00063A36"/>
    <w:rsid w:val="0006652F"/>
    <w:rsid w:val="00066DD3"/>
    <w:rsid w:val="00070A6A"/>
    <w:rsid w:val="00070CE5"/>
    <w:rsid w:val="00071263"/>
    <w:rsid w:val="00072203"/>
    <w:rsid w:val="00072857"/>
    <w:rsid w:val="00072E0B"/>
    <w:rsid w:val="000731E8"/>
    <w:rsid w:val="000734E5"/>
    <w:rsid w:val="00073E9A"/>
    <w:rsid w:val="000751C3"/>
    <w:rsid w:val="0007569A"/>
    <w:rsid w:val="00075718"/>
    <w:rsid w:val="0008149D"/>
    <w:rsid w:val="0008204B"/>
    <w:rsid w:val="00082F1A"/>
    <w:rsid w:val="0008463E"/>
    <w:rsid w:val="0008464A"/>
    <w:rsid w:val="00084C85"/>
    <w:rsid w:val="00084D39"/>
    <w:rsid w:val="00084D7A"/>
    <w:rsid w:val="00087DE9"/>
    <w:rsid w:val="00087E29"/>
    <w:rsid w:val="0009033B"/>
    <w:rsid w:val="000908A8"/>
    <w:rsid w:val="00092061"/>
    <w:rsid w:val="000933A0"/>
    <w:rsid w:val="00093562"/>
    <w:rsid w:val="000949E9"/>
    <w:rsid w:val="00094A03"/>
    <w:rsid w:val="00094D0A"/>
    <w:rsid w:val="00094F78"/>
    <w:rsid w:val="000954FA"/>
    <w:rsid w:val="0009568C"/>
    <w:rsid w:val="000A0451"/>
    <w:rsid w:val="000A0AC5"/>
    <w:rsid w:val="000A0BF7"/>
    <w:rsid w:val="000A0EDE"/>
    <w:rsid w:val="000A15AA"/>
    <w:rsid w:val="000A1723"/>
    <w:rsid w:val="000A17E0"/>
    <w:rsid w:val="000A1B4E"/>
    <w:rsid w:val="000A2946"/>
    <w:rsid w:val="000A322A"/>
    <w:rsid w:val="000A4826"/>
    <w:rsid w:val="000A555A"/>
    <w:rsid w:val="000A590B"/>
    <w:rsid w:val="000A5C93"/>
    <w:rsid w:val="000A5FBB"/>
    <w:rsid w:val="000A60C3"/>
    <w:rsid w:val="000A6519"/>
    <w:rsid w:val="000A68D5"/>
    <w:rsid w:val="000A69DE"/>
    <w:rsid w:val="000A6A0B"/>
    <w:rsid w:val="000A6BFE"/>
    <w:rsid w:val="000A7619"/>
    <w:rsid w:val="000A7DF4"/>
    <w:rsid w:val="000B19A9"/>
    <w:rsid w:val="000B1D4E"/>
    <w:rsid w:val="000B20A9"/>
    <w:rsid w:val="000B29C6"/>
    <w:rsid w:val="000B40AB"/>
    <w:rsid w:val="000B425A"/>
    <w:rsid w:val="000B4873"/>
    <w:rsid w:val="000B500A"/>
    <w:rsid w:val="000B50D9"/>
    <w:rsid w:val="000B647F"/>
    <w:rsid w:val="000B697E"/>
    <w:rsid w:val="000B697F"/>
    <w:rsid w:val="000B6ECA"/>
    <w:rsid w:val="000B730D"/>
    <w:rsid w:val="000B732A"/>
    <w:rsid w:val="000C0C4F"/>
    <w:rsid w:val="000C13F5"/>
    <w:rsid w:val="000C1405"/>
    <w:rsid w:val="000C15D3"/>
    <w:rsid w:val="000C1DEC"/>
    <w:rsid w:val="000C253F"/>
    <w:rsid w:val="000C3D3C"/>
    <w:rsid w:val="000C5C1A"/>
    <w:rsid w:val="000C69BD"/>
    <w:rsid w:val="000C7C96"/>
    <w:rsid w:val="000C7CC2"/>
    <w:rsid w:val="000D0297"/>
    <w:rsid w:val="000D065F"/>
    <w:rsid w:val="000D0924"/>
    <w:rsid w:val="000D1500"/>
    <w:rsid w:val="000D2218"/>
    <w:rsid w:val="000D2562"/>
    <w:rsid w:val="000D2934"/>
    <w:rsid w:val="000D2FF2"/>
    <w:rsid w:val="000D3E17"/>
    <w:rsid w:val="000D3FF0"/>
    <w:rsid w:val="000D45DA"/>
    <w:rsid w:val="000D4BF3"/>
    <w:rsid w:val="000D5183"/>
    <w:rsid w:val="000D54B9"/>
    <w:rsid w:val="000D563E"/>
    <w:rsid w:val="000D57A8"/>
    <w:rsid w:val="000D5828"/>
    <w:rsid w:val="000D5DD3"/>
    <w:rsid w:val="000D631F"/>
    <w:rsid w:val="000D689A"/>
    <w:rsid w:val="000D698D"/>
    <w:rsid w:val="000D7798"/>
    <w:rsid w:val="000E08B6"/>
    <w:rsid w:val="000E0F3B"/>
    <w:rsid w:val="000E1735"/>
    <w:rsid w:val="000E174F"/>
    <w:rsid w:val="000E1E06"/>
    <w:rsid w:val="000E1E18"/>
    <w:rsid w:val="000E2F04"/>
    <w:rsid w:val="000E31CD"/>
    <w:rsid w:val="000E3204"/>
    <w:rsid w:val="000E3AC9"/>
    <w:rsid w:val="000E40B1"/>
    <w:rsid w:val="000E44F4"/>
    <w:rsid w:val="000E498F"/>
    <w:rsid w:val="000E51D7"/>
    <w:rsid w:val="000E5641"/>
    <w:rsid w:val="000E5B09"/>
    <w:rsid w:val="000E6B9A"/>
    <w:rsid w:val="000F0354"/>
    <w:rsid w:val="000F0F43"/>
    <w:rsid w:val="000F10FE"/>
    <w:rsid w:val="000F14CC"/>
    <w:rsid w:val="000F16C0"/>
    <w:rsid w:val="000F2251"/>
    <w:rsid w:val="000F279C"/>
    <w:rsid w:val="000F2A0D"/>
    <w:rsid w:val="000F3208"/>
    <w:rsid w:val="000F34B3"/>
    <w:rsid w:val="000F3798"/>
    <w:rsid w:val="000F489D"/>
    <w:rsid w:val="000F4925"/>
    <w:rsid w:val="000F7B6C"/>
    <w:rsid w:val="000F7CAA"/>
    <w:rsid w:val="0010024D"/>
    <w:rsid w:val="00100370"/>
    <w:rsid w:val="00100A74"/>
    <w:rsid w:val="00101E08"/>
    <w:rsid w:val="00101F59"/>
    <w:rsid w:val="001024E5"/>
    <w:rsid w:val="00102992"/>
    <w:rsid w:val="00103004"/>
    <w:rsid w:val="001038D0"/>
    <w:rsid w:val="00103ED8"/>
    <w:rsid w:val="0010406E"/>
    <w:rsid w:val="001045C8"/>
    <w:rsid w:val="0010591A"/>
    <w:rsid w:val="00105C0E"/>
    <w:rsid w:val="00106771"/>
    <w:rsid w:val="001073D0"/>
    <w:rsid w:val="00107434"/>
    <w:rsid w:val="0010745D"/>
    <w:rsid w:val="00107B00"/>
    <w:rsid w:val="00107B5F"/>
    <w:rsid w:val="00110D3C"/>
    <w:rsid w:val="00111288"/>
    <w:rsid w:val="0011137C"/>
    <w:rsid w:val="001115EE"/>
    <w:rsid w:val="00111DED"/>
    <w:rsid w:val="00111E79"/>
    <w:rsid w:val="00112C40"/>
    <w:rsid w:val="00112E48"/>
    <w:rsid w:val="00113130"/>
    <w:rsid w:val="0011326E"/>
    <w:rsid w:val="00113AB6"/>
    <w:rsid w:val="00113ED9"/>
    <w:rsid w:val="00113FFA"/>
    <w:rsid w:val="0011418A"/>
    <w:rsid w:val="0011449C"/>
    <w:rsid w:val="001146B8"/>
    <w:rsid w:val="001148CD"/>
    <w:rsid w:val="001150D8"/>
    <w:rsid w:val="00115682"/>
    <w:rsid w:val="00116378"/>
    <w:rsid w:val="0011757F"/>
    <w:rsid w:val="001203A9"/>
    <w:rsid w:val="00122C57"/>
    <w:rsid w:val="0012360E"/>
    <w:rsid w:val="00124167"/>
    <w:rsid w:val="00124450"/>
    <w:rsid w:val="00124A0D"/>
    <w:rsid w:val="00125082"/>
    <w:rsid w:val="00125767"/>
    <w:rsid w:val="001265BE"/>
    <w:rsid w:val="001265F1"/>
    <w:rsid w:val="00127079"/>
    <w:rsid w:val="00130775"/>
    <w:rsid w:val="0013136A"/>
    <w:rsid w:val="00131A0B"/>
    <w:rsid w:val="00132219"/>
    <w:rsid w:val="00132DA9"/>
    <w:rsid w:val="00132ED7"/>
    <w:rsid w:val="00133341"/>
    <w:rsid w:val="00133965"/>
    <w:rsid w:val="001339F5"/>
    <w:rsid w:val="00134615"/>
    <w:rsid w:val="00135C57"/>
    <w:rsid w:val="00136599"/>
    <w:rsid w:val="0013716A"/>
    <w:rsid w:val="00137810"/>
    <w:rsid w:val="0014010E"/>
    <w:rsid w:val="001404F6"/>
    <w:rsid w:val="00140A09"/>
    <w:rsid w:val="00140A24"/>
    <w:rsid w:val="00140B9C"/>
    <w:rsid w:val="001410AB"/>
    <w:rsid w:val="001414D6"/>
    <w:rsid w:val="00141809"/>
    <w:rsid w:val="0014193D"/>
    <w:rsid w:val="00142210"/>
    <w:rsid w:val="001425E6"/>
    <w:rsid w:val="00143672"/>
    <w:rsid w:val="00143C7F"/>
    <w:rsid w:val="0014451D"/>
    <w:rsid w:val="001450FB"/>
    <w:rsid w:val="00145F21"/>
    <w:rsid w:val="001479DB"/>
    <w:rsid w:val="00147FA4"/>
    <w:rsid w:val="001502EC"/>
    <w:rsid w:val="00150D27"/>
    <w:rsid w:val="001510D6"/>
    <w:rsid w:val="001522B5"/>
    <w:rsid w:val="001527E9"/>
    <w:rsid w:val="00152B51"/>
    <w:rsid w:val="00154A2D"/>
    <w:rsid w:val="00154EC6"/>
    <w:rsid w:val="00154FD9"/>
    <w:rsid w:val="00155054"/>
    <w:rsid w:val="001554DD"/>
    <w:rsid w:val="0015659B"/>
    <w:rsid w:val="00156728"/>
    <w:rsid w:val="00160123"/>
    <w:rsid w:val="00161744"/>
    <w:rsid w:val="001618A9"/>
    <w:rsid w:val="00161A04"/>
    <w:rsid w:val="00162170"/>
    <w:rsid w:val="001625B5"/>
    <w:rsid w:val="00162924"/>
    <w:rsid w:val="00162AF7"/>
    <w:rsid w:val="00163487"/>
    <w:rsid w:val="00163779"/>
    <w:rsid w:val="00163983"/>
    <w:rsid w:val="00163EA8"/>
    <w:rsid w:val="00164477"/>
    <w:rsid w:val="00165F92"/>
    <w:rsid w:val="0017137E"/>
    <w:rsid w:val="00172531"/>
    <w:rsid w:val="001725A6"/>
    <w:rsid w:val="00172644"/>
    <w:rsid w:val="00172F2F"/>
    <w:rsid w:val="0017406A"/>
    <w:rsid w:val="00174442"/>
    <w:rsid w:val="00174A78"/>
    <w:rsid w:val="00175B17"/>
    <w:rsid w:val="00175C5C"/>
    <w:rsid w:val="00181A47"/>
    <w:rsid w:val="001823A1"/>
    <w:rsid w:val="001825E8"/>
    <w:rsid w:val="00183A49"/>
    <w:rsid w:val="00183E61"/>
    <w:rsid w:val="001840B5"/>
    <w:rsid w:val="0018443C"/>
    <w:rsid w:val="001844F9"/>
    <w:rsid w:val="001863B1"/>
    <w:rsid w:val="0018653A"/>
    <w:rsid w:val="0018654B"/>
    <w:rsid w:val="00186BF0"/>
    <w:rsid w:val="0018703F"/>
    <w:rsid w:val="00187E03"/>
    <w:rsid w:val="001904D4"/>
    <w:rsid w:val="001916FB"/>
    <w:rsid w:val="00192D2E"/>
    <w:rsid w:val="00193F1D"/>
    <w:rsid w:val="001945BF"/>
    <w:rsid w:val="00194B0C"/>
    <w:rsid w:val="00195B75"/>
    <w:rsid w:val="00195F1C"/>
    <w:rsid w:val="00195FBB"/>
    <w:rsid w:val="00196BD0"/>
    <w:rsid w:val="0019723E"/>
    <w:rsid w:val="00197C4B"/>
    <w:rsid w:val="001A01B6"/>
    <w:rsid w:val="001A03C9"/>
    <w:rsid w:val="001A05B2"/>
    <w:rsid w:val="001A0875"/>
    <w:rsid w:val="001A1579"/>
    <w:rsid w:val="001A282B"/>
    <w:rsid w:val="001A2BEB"/>
    <w:rsid w:val="001A2DFC"/>
    <w:rsid w:val="001A3073"/>
    <w:rsid w:val="001A3E58"/>
    <w:rsid w:val="001A417F"/>
    <w:rsid w:val="001A4269"/>
    <w:rsid w:val="001A4753"/>
    <w:rsid w:val="001A5404"/>
    <w:rsid w:val="001A716F"/>
    <w:rsid w:val="001A7713"/>
    <w:rsid w:val="001A7E71"/>
    <w:rsid w:val="001B12D4"/>
    <w:rsid w:val="001B2F7D"/>
    <w:rsid w:val="001B33B9"/>
    <w:rsid w:val="001B3A8D"/>
    <w:rsid w:val="001B45F6"/>
    <w:rsid w:val="001B74DD"/>
    <w:rsid w:val="001B76B4"/>
    <w:rsid w:val="001B79C0"/>
    <w:rsid w:val="001B7F05"/>
    <w:rsid w:val="001C0397"/>
    <w:rsid w:val="001C0582"/>
    <w:rsid w:val="001C1D83"/>
    <w:rsid w:val="001C341B"/>
    <w:rsid w:val="001C35BE"/>
    <w:rsid w:val="001C3752"/>
    <w:rsid w:val="001C4402"/>
    <w:rsid w:val="001C4CAF"/>
    <w:rsid w:val="001C5455"/>
    <w:rsid w:val="001C5ADE"/>
    <w:rsid w:val="001C5D22"/>
    <w:rsid w:val="001C6421"/>
    <w:rsid w:val="001C64F7"/>
    <w:rsid w:val="001C76F5"/>
    <w:rsid w:val="001C7D43"/>
    <w:rsid w:val="001D0BAC"/>
    <w:rsid w:val="001D0C8F"/>
    <w:rsid w:val="001D13E7"/>
    <w:rsid w:val="001D1603"/>
    <w:rsid w:val="001D1ADA"/>
    <w:rsid w:val="001D2525"/>
    <w:rsid w:val="001D28CE"/>
    <w:rsid w:val="001D44CE"/>
    <w:rsid w:val="001D55FE"/>
    <w:rsid w:val="001D64E4"/>
    <w:rsid w:val="001D66E2"/>
    <w:rsid w:val="001D67B2"/>
    <w:rsid w:val="001D6F13"/>
    <w:rsid w:val="001E003C"/>
    <w:rsid w:val="001E01EF"/>
    <w:rsid w:val="001E10BF"/>
    <w:rsid w:val="001E1261"/>
    <w:rsid w:val="001E150B"/>
    <w:rsid w:val="001E150D"/>
    <w:rsid w:val="001E24A8"/>
    <w:rsid w:val="001E307E"/>
    <w:rsid w:val="001E355F"/>
    <w:rsid w:val="001E4D4F"/>
    <w:rsid w:val="001E5540"/>
    <w:rsid w:val="001E5F59"/>
    <w:rsid w:val="001E6192"/>
    <w:rsid w:val="001E6237"/>
    <w:rsid w:val="001E6B21"/>
    <w:rsid w:val="001E7CAD"/>
    <w:rsid w:val="001F1084"/>
    <w:rsid w:val="001F1671"/>
    <w:rsid w:val="001F19F9"/>
    <w:rsid w:val="001F2F28"/>
    <w:rsid w:val="001F3DBC"/>
    <w:rsid w:val="001F432F"/>
    <w:rsid w:val="001F4C02"/>
    <w:rsid w:val="001F623E"/>
    <w:rsid w:val="001F69CE"/>
    <w:rsid w:val="001F6AC1"/>
    <w:rsid w:val="001F7D7E"/>
    <w:rsid w:val="002000CC"/>
    <w:rsid w:val="00200734"/>
    <w:rsid w:val="0020185F"/>
    <w:rsid w:val="00201925"/>
    <w:rsid w:val="002045CD"/>
    <w:rsid w:val="002068A0"/>
    <w:rsid w:val="0020710B"/>
    <w:rsid w:val="00207227"/>
    <w:rsid w:val="002072FD"/>
    <w:rsid w:val="00207589"/>
    <w:rsid w:val="00207EC8"/>
    <w:rsid w:val="00210289"/>
    <w:rsid w:val="00210693"/>
    <w:rsid w:val="00210BE7"/>
    <w:rsid w:val="002116CF"/>
    <w:rsid w:val="002137EF"/>
    <w:rsid w:val="00214108"/>
    <w:rsid w:val="00214525"/>
    <w:rsid w:val="00214ADF"/>
    <w:rsid w:val="002161C6"/>
    <w:rsid w:val="002177CA"/>
    <w:rsid w:val="0021792F"/>
    <w:rsid w:val="00217D3B"/>
    <w:rsid w:val="0022172E"/>
    <w:rsid w:val="002218EE"/>
    <w:rsid w:val="00222357"/>
    <w:rsid w:val="002233A0"/>
    <w:rsid w:val="00223833"/>
    <w:rsid w:val="002242E1"/>
    <w:rsid w:val="002269E8"/>
    <w:rsid w:val="00226F7B"/>
    <w:rsid w:val="002271B9"/>
    <w:rsid w:val="0022728A"/>
    <w:rsid w:val="002273B6"/>
    <w:rsid w:val="00227BAF"/>
    <w:rsid w:val="002313A8"/>
    <w:rsid w:val="00231783"/>
    <w:rsid w:val="002319E0"/>
    <w:rsid w:val="00233120"/>
    <w:rsid w:val="0023313C"/>
    <w:rsid w:val="00233ED5"/>
    <w:rsid w:val="002341A6"/>
    <w:rsid w:val="00234C0A"/>
    <w:rsid w:val="0023507D"/>
    <w:rsid w:val="00235196"/>
    <w:rsid w:val="0023545C"/>
    <w:rsid w:val="0023646D"/>
    <w:rsid w:val="002375A7"/>
    <w:rsid w:val="00237A1D"/>
    <w:rsid w:val="00237D27"/>
    <w:rsid w:val="00240F46"/>
    <w:rsid w:val="00241AD1"/>
    <w:rsid w:val="002426F5"/>
    <w:rsid w:val="0024301F"/>
    <w:rsid w:val="00243252"/>
    <w:rsid w:val="00244DB8"/>
    <w:rsid w:val="00245114"/>
    <w:rsid w:val="00245581"/>
    <w:rsid w:val="00246919"/>
    <w:rsid w:val="00247447"/>
    <w:rsid w:val="00247981"/>
    <w:rsid w:val="0025052B"/>
    <w:rsid w:val="00250999"/>
    <w:rsid w:val="00250E79"/>
    <w:rsid w:val="002522D9"/>
    <w:rsid w:val="002528E4"/>
    <w:rsid w:val="00253E99"/>
    <w:rsid w:val="002547F7"/>
    <w:rsid w:val="00255105"/>
    <w:rsid w:val="00255994"/>
    <w:rsid w:val="00255E22"/>
    <w:rsid w:val="00255EE6"/>
    <w:rsid w:val="00256E9B"/>
    <w:rsid w:val="00256F6D"/>
    <w:rsid w:val="002577EB"/>
    <w:rsid w:val="002607CF"/>
    <w:rsid w:val="00260E06"/>
    <w:rsid w:val="00260F7D"/>
    <w:rsid w:val="002611B3"/>
    <w:rsid w:val="00261EEE"/>
    <w:rsid w:val="00261F05"/>
    <w:rsid w:val="00263D3A"/>
    <w:rsid w:val="0026471E"/>
    <w:rsid w:val="00264FB1"/>
    <w:rsid w:val="00270443"/>
    <w:rsid w:val="00270A3F"/>
    <w:rsid w:val="00272072"/>
    <w:rsid w:val="00272361"/>
    <w:rsid w:val="002729B7"/>
    <w:rsid w:val="00272BC7"/>
    <w:rsid w:val="00272F52"/>
    <w:rsid w:val="002736C9"/>
    <w:rsid w:val="00273840"/>
    <w:rsid w:val="002739AE"/>
    <w:rsid w:val="00274D1B"/>
    <w:rsid w:val="0027515A"/>
    <w:rsid w:val="00276408"/>
    <w:rsid w:val="00276877"/>
    <w:rsid w:val="00277266"/>
    <w:rsid w:val="002779EA"/>
    <w:rsid w:val="00277EE5"/>
    <w:rsid w:val="00280406"/>
    <w:rsid w:val="002805DB"/>
    <w:rsid w:val="002807CE"/>
    <w:rsid w:val="00281B39"/>
    <w:rsid w:val="00282024"/>
    <w:rsid w:val="002822FE"/>
    <w:rsid w:val="00282AB5"/>
    <w:rsid w:val="00284995"/>
    <w:rsid w:val="00286598"/>
    <w:rsid w:val="00287B0E"/>
    <w:rsid w:val="00287DFB"/>
    <w:rsid w:val="002926C3"/>
    <w:rsid w:val="0029395B"/>
    <w:rsid w:val="00293C45"/>
    <w:rsid w:val="002941FC"/>
    <w:rsid w:val="0029463C"/>
    <w:rsid w:val="00294994"/>
    <w:rsid w:val="002955B3"/>
    <w:rsid w:val="00295BDE"/>
    <w:rsid w:val="002979A4"/>
    <w:rsid w:val="002A072E"/>
    <w:rsid w:val="002A0BF2"/>
    <w:rsid w:val="002A15E3"/>
    <w:rsid w:val="002A3DD0"/>
    <w:rsid w:val="002A3FEC"/>
    <w:rsid w:val="002A419E"/>
    <w:rsid w:val="002A4574"/>
    <w:rsid w:val="002A4886"/>
    <w:rsid w:val="002A72F0"/>
    <w:rsid w:val="002A76B4"/>
    <w:rsid w:val="002A7A37"/>
    <w:rsid w:val="002A7E00"/>
    <w:rsid w:val="002B0120"/>
    <w:rsid w:val="002B0693"/>
    <w:rsid w:val="002B06B5"/>
    <w:rsid w:val="002B1354"/>
    <w:rsid w:val="002B28AE"/>
    <w:rsid w:val="002B290F"/>
    <w:rsid w:val="002B3434"/>
    <w:rsid w:val="002B351E"/>
    <w:rsid w:val="002B457B"/>
    <w:rsid w:val="002B47DB"/>
    <w:rsid w:val="002B60E6"/>
    <w:rsid w:val="002B615B"/>
    <w:rsid w:val="002C0EB6"/>
    <w:rsid w:val="002C1724"/>
    <w:rsid w:val="002C1EDD"/>
    <w:rsid w:val="002C28BA"/>
    <w:rsid w:val="002C2D22"/>
    <w:rsid w:val="002C4AF7"/>
    <w:rsid w:val="002C5AC7"/>
    <w:rsid w:val="002C5BD4"/>
    <w:rsid w:val="002C6C07"/>
    <w:rsid w:val="002C6D55"/>
    <w:rsid w:val="002C765A"/>
    <w:rsid w:val="002D061D"/>
    <w:rsid w:val="002D1222"/>
    <w:rsid w:val="002D1A9F"/>
    <w:rsid w:val="002D2193"/>
    <w:rsid w:val="002D352B"/>
    <w:rsid w:val="002D399C"/>
    <w:rsid w:val="002D412F"/>
    <w:rsid w:val="002D4607"/>
    <w:rsid w:val="002D4700"/>
    <w:rsid w:val="002D4BC2"/>
    <w:rsid w:val="002D504A"/>
    <w:rsid w:val="002D5738"/>
    <w:rsid w:val="002D7699"/>
    <w:rsid w:val="002D77EA"/>
    <w:rsid w:val="002E06B9"/>
    <w:rsid w:val="002E08DE"/>
    <w:rsid w:val="002E2F58"/>
    <w:rsid w:val="002E2F66"/>
    <w:rsid w:val="002E3957"/>
    <w:rsid w:val="002E47C0"/>
    <w:rsid w:val="002E5420"/>
    <w:rsid w:val="002E692B"/>
    <w:rsid w:val="002E6932"/>
    <w:rsid w:val="002F0547"/>
    <w:rsid w:val="002F0552"/>
    <w:rsid w:val="002F139A"/>
    <w:rsid w:val="002F25D2"/>
    <w:rsid w:val="002F28E7"/>
    <w:rsid w:val="002F3BBF"/>
    <w:rsid w:val="002F41A1"/>
    <w:rsid w:val="002F4257"/>
    <w:rsid w:val="002F4961"/>
    <w:rsid w:val="002F4BEC"/>
    <w:rsid w:val="002F582B"/>
    <w:rsid w:val="002F5CC0"/>
    <w:rsid w:val="002F662F"/>
    <w:rsid w:val="002F6E03"/>
    <w:rsid w:val="002F7756"/>
    <w:rsid w:val="003003C9"/>
    <w:rsid w:val="00300BF7"/>
    <w:rsid w:val="00300C36"/>
    <w:rsid w:val="00300DC8"/>
    <w:rsid w:val="00301627"/>
    <w:rsid w:val="00302D7F"/>
    <w:rsid w:val="00304173"/>
    <w:rsid w:val="00304265"/>
    <w:rsid w:val="00304F24"/>
    <w:rsid w:val="00305715"/>
    <w:rsid w:val="00305E86"/>
    <w:rsid w:val="00306B12"/>
    <w:rsid w:val="0030725D"/>
    <w:rsid w:val="003072D9"/>
    <w:rsid w:val="0031016F"/>
    <w:rsid w:val="00310C44"/>
    <w:rsid w:val="0031111F"/>
    <w:rsid w:val="00311653"/>
    <w:rsid w:val="0031178B"/>
    <w:rsid w:val="00311A8C"/>
    <w:rsid w:val="0031266F"/>
    <w:rsid w:val="0031271A"/>
    <w:rsid w:val="00313272"/>
    <w:rsid w:val="00314199"/>
    <w:rsid w:val="003148B8"/>
    <w:rsid w:val="00315C2D"/>
    <w:rsid w:val="003165EF"/>
    <w:rsid w:val="00316611"/>
    <w:rsid w:val="003168D2"/>
    <w:rsid w:val="003173BC"/>
    <w:rsid w:val="003178C3"/>
    <w:rsid w:val="0032044F"/>
    <w:rsid w:val="00320F56"/>
    <w:rsid w:val="003214A4"/>
    <w:rsid w:val="003214F6"/>
    <w:rsid w:val="00323E8F"/>
    <w:rsid w:val="003240BC"/>
    <w:rsid w:val="003245D0"/>
    <w:rsid w:val="00331698"/>
    <w:rsid w:val="003322B4"/>
    <w:rsid w:val="00333C05"/>
    <w:rsid w:val="00333FA3"/>
    <w:rsid w:val="003365BF"/>
    <w:rsid w:val="00336B0A"/>
    <w:rsid w:val="003371A2"/>
    <w:rsid w:val="00337CEE"/>
    <w:rsid w:val="00337D21"/>
    <w:rsid w:val="003407C1"/>
    <w:rsid w:val="00341719"/>
    <w:rsid w:val="00341BDA"/>
    <w:rsid w:val="00341CA1"/>
    <w:rsid w:val="003434EC"/>
    <w:rsid w:val="0034354A"/>
    <w:rsid w:val="00343A56"/>
    <w:rsid w:val="00343C08"/>
    <w:rsid w:val="003446FD"/>
    <w:rsid w:val="00344768"/>
    <w:rsid w:val="0034557C"/>
    <w:rsid w:val="00345A8A"/>
    <w:rsid w:val="0034669F"/>
    <w:rsid w:val="00346CAE"/>
    <w:rsid w:val="00347C43"/>
    <w:rsid w:val="00350CF9"/>
    <w:rsid w:val="00350F59"/>
    <w:rsid w:val="003518C5"/>
    <w:rsid w:val="00351CA3"/>
    <w:rsid w:val="00351CFB"/>
    <w:rsid w:val="00351DDF"/>
    <w:rsid w:val="00352300"/>
    <w:rsid w:val="0035237A"/>
    <w:rsid w:val="0035243F"/>
    <w:rsid w:val="0035312F"/>
    <w:rsid w:val="003555BD"/>
    <w:rsid w:val="003557FC"/>
    <w:rsid w:val="00355945"/>
    <w:rsid w:val="003561ED"/>
    <w:rsid w:val="003565FD"/>
    <w:rsid w:val="00357059"/>
    <w:rsid w:val="00357AA9"/>
    <w:rsid w:val="00363A7A"/>
    <w:rsid w:val="00363B7F"/>
    <w:rsid w:val="0036417D"/>
    <w:rsid w:val="003654E0"/>
    <w:rsid w:val="00365F07"/>
    <w:rsid w:val="00366E3E"/>
    <w:rsid w:val="00367290"/>
    <w:rsid w:val="003678E0"/>
    <w:rsid w:val="00367FB2"/>
    <w:rsid w:val="00367FED"/>
    <w:rsid w:val="003700CB"/>
    <w:rsid w:val="00370AA8"/>
    <w:rsid w:val="00370E08"/>
    <w:rsid w:val="00371430"/>
    <w:rsid w:val="00372107"/>
    <w:rsid w:val="0037220D"/>
    <w:rsid w:val="003730C7"/>
    <w:rsid w:val="00373CBE"/>
    <w:rsid w:val="003751D9"/>
    <w:rsid w:val="00376043"/>
    <w:rsid w:val="0037690C"/>
    <w:rsid w:val="00376FDD"/>
    <w:rsid w:val="00377F8B"/>
    <w:rsid w:val="00380C36"/>
    <w:rsid w:val="00381A10"/>
    <w:rsid w:val="00381E26"/>
    <w:rsid w:val="00381FDB"/>
    <w:rsid w:val="0038247D"/>
    <w:rsid w:val="00382769"/>
    <w:rsid w:val="00382DF2"/>
    <w:rsid w:val="00383012"/>
    <w:rsid w:val="00383689"/>
    <w:rsid w:val="00383728"/>
    <w:rsid w:val="003840BF"/>
    <w:rsid w:val="003846B2"/>
    <w:rsid w:val="00384A9C"/>
    <w:rsid w:val="00384B34"/>
    <w:rsid w:val="00384EDC"/>
    <w:rsid w:val="00385E36"/>
    <w:rsid w:val="0038638B"/>
    <w:rsid w:val="00386DC1"/>
    <w:rsid w:val="00386E3F"/>
    <w:rsid w:val="00390FB9"/>
    <w:rsid w:val="0039193A"/>
    <w:rsid w:val="003925E1"/>
    <w:rsid w:val="00392C0B"/>
    <w:rsid w:val="00392FC2"/>
    <w:rsid w:val="0039306E"/>
    <w:rsid w:val="00393223"/>
    <w:rsid w:val="003937F7"/>
    <w:rsid w:val="003939A1"/>
    <w:rsid w:val="0039413A"/>
    <w:rsid w:val="00394F9C"/>
    <w:rsid w:val="003955A8"/>
    <w:rsid w:val="00396C49"/>
    <w:rsid w:val="00397939"/>
    <w:rsid w:val="00397BCD"/>
    <w:rsid w:val="00397BE1"/>
    <w:rsid w:val="003A0C38"/>
    <w:rsid w:val="003A0E91"/>
    <w:rsid w:val="003A1EA1"/>
    <w:rsid w:val="003A241A"/>
    <w:rsid w:val="003A27C7"/>
    <w:rsid w:val="003A2A03"/>
    <w:rsid w:val="003A2D91"/>
    <w:rsid w:val="003A2FD3"/>
    <w:rsid w:val="003A3B33"/>
    <w:rsid w:val="003A3FE8"/>
    <w:rsid w:val="003A4457"/>
    <w:rsid w:val="003A6151"/>
    <w:rsid w:val="003A660A"/>
    <w:rsid w:val="003A6FAB"/>
    <w:rsid w:val="003A7056"/>
    <w:rsid w:val="003A765D"/>
    <w:rsid w:val="003B0BE1"/>
    <w:rsid w:val="003B226B"/>
    <w:rsid w:val="003B3155"/>
    <w:rsid w:val="003B3D2F"/>
    <w:rsid w:val="003B3D5F"/>
    <w:rsid w:val="003B4EE1"/>
    <w:rsid w:val="003B500E"/>
    <w:rsid w:val="003B5524"/>
    <w:rsid w:val="003B5DED"/>
    <w:rsid w:val="003B62E5"/>
    <w:rsid w:val="003B69E4"/>
    <w:rsid w:val="003B7195"/>
    <w:rsid w:val="003B7610"/>
    <w:rsid w:val="003B7FA2"/>
    <w:rsid w:val="003C041D"/>
    <w:rsid w:val="003C0E0A"/>
    <w:rsid w:val="003C1090"/>
    <w:rsid w:val="003C180A"/>
    <w:rsid w:val="003C29E6"/>
    <w:rsid w:val="003C2C01"/>
    <w:rsid w:val="003C2E77"/>
    <w:rsid w:val="003C3078"/>
    <w:rsid w:val="003C3140"/>
    <w:rsid w:val="003C3297"/>
    <w:rsid w:val="003C3A2F"/>
    <w:rsid w:val="003C3EC8"/>
    <w:rsid w:val="003C3F57"/>
    <w:rsid w:val="003C4856"/>
    <w:rsid w:val="003C4BD8"/>
    <w:rsid w:val="003C50EF"/>
    <w:rsid w:val="003C520E"/>
    <w:rsid w:val="003C63A5"/>
    <w:rsid w:val="003C6B7B"/>
    <w:rsid w:val="003C6C10"/>
    <w:rsid w:val="003C71E8"/>
    <w:rsid w:val="003C763B"/>
    <w:rsid w:val="003C7A2A"/>
    <w:rsid w:val="003D01B0"/>
    <w:rsid w:val="003D10EB"/>
    <w:rsid w:val="003D15EC"/>
    <w:rsid w:val="003D1AAA"/>
    <w:rsid w:val="003D2262"/>
    <w:rsid w:val="003D2399"/>
    <w:rsid w:val="003D28CE"/>
    <w:rsid w:val="003D36E3"/>
    <w:rsid w:val="003D3BBA"/>
    <w:rsid w:val="003D3FB3"/>
    <w:rsid w:val="003D4ADD"/>
    <w:rsid w:val="003D4CEE"/>
    <w:rsid w:val="003D529C"/>
    <w:rsid w:val="003D686E"/>
    <w:rsid w:val="003D7284"/>
    <w:rsid w:val="003D73A3"/>
    <w:rsid w:val="003D783F"/>
    <w:rsid w:val="003D7C3A"/>
    <w:rsid w:val="003E19E7"/>
    <w:rsid w:val="003E2AC4"/>
    <w:rsid w:val="003E359B"/>
    <w:rsid w:val="003E3784"/>
    <w:rsid w:val="003E3957"/>
    <w:rsid w:val="003E39B4"/>
    <w:rsid w:val="003E3F8C"/>
    <w:rsid w:val="003E4A5C"/>
    <w:rsid w:val="003E557C"/>
    <w:rsid w:val="003E6143"/>
    <w:rsid w:val="003E624D"/>
    <w:rsid w:val="003E6428"/>
    <w:rsid w:val="003E6DD8"/>
    <w:rsid w:val="003E751F"/>
    <w:rsid w:val="003E75B4"/>
    <w:rsid w:val="003E7E6B"/>
    <w:rsid w:val="003F0668"/>
    <w:rsid w:val="003F18B9"/>
    <w:rsid w:val="003F25C3"/>
    <w:rsid w:val="003F3826"/>
    <w:rsid w:val="003F3E99"/>
    <w:rsid w:val="003F3F92"/>
    <w:rsid w:val="003F400B"/>
    <w:rsid w:val="003F4D2F"/>
    <w:rsid w:val="003F7ABB"/>
    <w:rsid w:val="004000B0"/>
    <w:rsid w:val="00400EEC"/>
    <w:rsid w:val="00401052"/>
    <w:rsid w:val="0040105E"/>
    <w:rsid w:val="00401060"/>
    <w:rsid w:val="0040187C"/>
    <w:rsid w:val="00401A7A"/>
    <w:rsid w:val="00401CD1"/>
    <w:rsid w:val="0040252A"/>
    <w:rsid w:val="004032FE"/>
    <w:rsid w:val="00403E11"/>
    <w:rsid w:val="00404AF5"/>
    <w:rsid w:val="004056B6"/>
    <w:rsid w:val="00405BAE"/>
    <w:rsid w:val="0041002B"/>
    <w:rsid w:val="00410190"/>
    <w:rsid w:val="00412CC0"/>
    <w:rsid w:val="00413767"/>
    <w:rsid w:val="0041395F"/>
    <w:rsid w:val="00413970"/>
    <w:rsid w:val="00413AE0"/>
    <w:rsid w:val="00413B5B"/>
    <w:rsid w:val="00413B8E"/>
    <w:rsid w:val="00413DAD"/>
    <w:rsid w:val="00413F16"/>
    <w:rsid w:val="004146B3"/>
    <w:rsid w:val="00415337"/>
    <w:rsid w:val="004205C4"/>
    <w:rsid w:val="004218C1"/>
    <w:rsid w:val="00422340"/>
    <w:rsid w:val="00422C19"/>
    <w:rsid w:val="004230EF"/>
    <w:rsid w:val="004233D7"/>
    <w:rsid w:val="004238AD"/>
    <w:rsid w:val="00423FDB"/>
    <w:rsid w:val="00424A02"/>
    <w:rsid w:val="00424B8A"/>
    <w:rsid w:val="004255B7"/>
    <w:rsid w:val="004258B7"/>
    <w:rsid w:val="00425E41"/>
    <w:rsid w:val="00425F2B"/>
    <w:rsid w:val="004262AA"/>
    <w:rsid w:val="00426BA4"/>
    <w:rsid w:val="00426D09"/>
    <w:rsid w:val="004271D9"/>
    <w:rsid w:val="0042741B"/>
    <w:rsid w:val="00427720"/>
    <w:rsid w:val="0042784C"/>
    <w:rsid w:val="00427EF7"/>
    <w:rsid w:val="00430A90"/>
    <w:rsid w:val="00430D62"/>
    <w:rsid w:val="00430E8D"/>
    <w:rsid w:val="004321D7"/>
    <w:rsid w:val="00432722"/>
    <w:rsid w:val="0043315C"/>
    <w:rsid w:val="0043498A"/>
    <w:rsid w:val="00435813"/>
    <w:rsid w:val="00435D66"/>
    <w:rsid w:val="004369C8"/>
    <w:rsid w:val="00437143"/>
    <w:rsid w:val="004403A5"/>
    <w:rsid w:val="00441E06"/>
    <w:rsid w:val="004420E0"/>
    <w:rsid w:val="00442872"/>
    <w:rsid w:val="00445BB8"/>
    <w:rsid w:val="00445DA5"/>
    <w:rsid w:val="00445E9E"/>
    <w:rsid w:val="004460A6"/>
    <w:rsid w:val="004461BF"/>
    <w:rsid w:val="00447286"/>
    <w:rsid w:val="004475E1"/>
    <w:rsid w:val="0045008C"/>
    <w:rsid w:val="00451507"/>
    <w:rsid w:val="00451524"/>
    <w:rsid w:val="004520CC"/>
    <w:rsid w:val="00452AAC"/>
    <w:rsid w:val="00452D7B"/>
    <w:rsid w:val="004530ED"/>
    <w:rsid w:val="00453163"/>
    <w:rsid w:val="00453425"/>
    <w:rsid w:val="004538D2"/>
    <w:rsid w:val="00453F45"/>
    <w:rsid w:val="00454F20"/>
    <w:rsid w:val="00455CBF"/>
    <w:rsid w:val="004564A0"/>
    <w:rsid w:val="00460054"/>
    <w:rsid w:val="0046044D"/>
    <w:rsid w:val="004606B7"/>
    <w:rsid w:val="004607FC"/>
    <w:rsid w:val="00460C85"/>
    <w:rsid w:val="00461FFE"/>
    <w:rsid w:val="0046226F"/>
    <w:rsid w:val="0046264E"/>
    <w:rsid w:val="00462E78"/>
    <w:rsid w:val="00463342"/>
    <w:rsid w:val="004645EB"/>
    <w:rsid w:val="004648F2"/>
    <w:rsid w:val="00464BDF"/>
    <w:rsid w:val="00465A43"/>
    <w:rsid w:val="00465CC6"/>
    <w:rsid w:val="004665CD"/>
    <w:rsid w:val="00467285"/>
    <w:rsid w:val="004679FC"/>
    <w:rsid w:val="00467C34"/>
    <w:rsid w:val="00467C5E"/>
    <w:rsid w:val="00470276"/>
    <w:rsid w:val="00471C13"/>
    <w:rsid w:val="00471D23"/>
    <w:rsid w:val="00471F8A"/>
    <w:rsid w:val="00472C49"/>
    <w:rsid w:val="004735A9"/>
    <w:rsid w:val="00473E48"/>
    <w:rsid w:val="00474069"/>
    <w:rsid w:val="0047406A"/>
    <w:rsid w:val="00474136"/>
    <w:rsid w:val="00474A02"/>
    <w:rsid w:val="00474CDB"/>
    <w:rsid w:val="00474FF3"/>
    <w:rsid w:val="00475871"/>
    <w:rsid w:val="004765A1"/>
    <w:rsid w:val="004765B1"/>
    <w:rsid w:val="00476D4E"/>
    <w:rsid w:val="0047787E"/>
    <w:rsid w:val="00480466"/>
    <w:rsid w:val="004804B7"/>
    <w:rsid w:val="00480B0C"/>
    <w:rsid w:val="00480C80"/>
    <w:rsid w:val="004815DD"/>
    <w:rsid w:val="00481F9E"/>
    <w:rsid w:val="00482735"/>
    <w:rsid w:val="00482CB8"/>
    <w:rsid w:val="00482E0E"/>
    <w:rsid w:val="00483074"/>
    <w:rsid w:val="0048384C"/>
    <w:rsid w:val="00483A45"/>
    <w:rsid w:val="00483B28"/>
    <w:rsid w:val="00484E7F"/>
    <w:rsid w:val="00485A15"/>
    <w:rsid w:val="004860A8"/>
    <w:rsid w:val="00486316"/>
    <w:rsid w:val="00486C8B"/>
    <w:rsid w:val="004872A0"/>
    <w:rsid w:val="0048798C"/>
    <w:rsid w:val="00487E3D"/>
    <w:rsid w:val="00490CC9"/>
    <w:rsid w:val="00491A5D"/>
    <w:rsid w:val="00491BBF"/>
    <w:rsid w:val="00491E5D"/>
    <w:rsid w:val="0049223C"/>
    <w:rsid w:val="00492825"/>
    <w:rsid w:val="00492B2D"/>
    <w:rsid w:val="00492D3E"/>
    <w:rsid w:val="0049424C"/>
    <w:rsid w:val="004949FA"/>
    <w:rsid w:val="00494F5E"/>
    <w:rsid w:val="004958AA"/>
    <w:rsid w:val="00496104"/>
    <w:rsid w:val="0049650C"/>
    <w:rsid w:val="004970CC"/>
    <w:rsid w:val="00497976"/>
    <w:rsid w:val="004A0361"/>
    <w:rsid w:val="004A04AF"/>
    <w:rsid w:val="004A0BF1"/>
    <w:rsid w:val="004A1512"/>
    <w:rsid w:val="004A244F"/>
    <w:rsid w:val="004A2797"/>
    <w:rsid w:val="004A38A4"/>
    <w:rsid w:val="004A3F85"/>
    <w:rsid w:val="004A45A0"/>
    <w:rsid w:val="004A4A95"/>
    <w:rsid w:val="004A5DAA"/>
    <w:rsid w:val="004A6372"/>
    <w:rsid w:val="004A6490"/>
    <w:rsid w:val="004A776C"/>
    <w:rsid w:val="004A781D"/>
    <w:rsid w:val="004A7B11"/>
    <w:rsid w:val="004A7C27"/>
    <w:rsid w:val="004A7F2E"/>
    <w:rsid w:val="004B0CB6"/>
    <w:rsid w:val="004B1021"/>
    <w:rsid w:val="004B2448"/>
    <w:rsid w:val="004B26BC"/>
    <w:rsid w:val="004B2AA8"/>
    <w:rsid w:val="004B407D"/>
    <w:rsid w:val="004B42C3"/>
    <w:rsid w:val="004B45CF"/>
    <w:rsid w:val="004B49FE"/>
    <w:rsid w:val="004B4F2D"/>
    <w:rsid w:val="004B502F"/>
    <w:rsid w:val="004B50A6"/>
    <w:rsid w:val="004B50F9"/>
    <w:rsid w:val="004B532F"/>
    <w:rsid w:val="004B53DB"/>
    <w:rsid w:val="004B5F8B"/>
    <w:rsid w:val="004B7160"/>
    <w:rsid w:val="004B76C5"/>
    <w:rsid w:val="004B7B9D"/>
    <w:rsid w:val="004B7BA1"/>
    <w:rsid w:val="004B7C38"/>
    <w:rsid w:val="004C03C2"/>
    <w:rsid w:val="004C0F4E"/>
    <w:rsid w:val="004C102A"/>
    <w:rsid w:val="004C2379"/>
    <w:rsid w:val="004C2FDA"/>
    <w:rsid w:val="004C36F5"/>
    <w:rsid w:val="004C44D0"/>
    <w:rsid w:val="004C58FB"/>
    <w:rsid w:val="004C59B4"/>
    <w:rsid w:val="004C6B97"/>
    <w:rsid w:val="004C6CD7"/>
    <w:rsid w:val="004C70FC"/>
    <w:rsid w:val="004C7C9A"/>
    <w:rsid w:val="004C7D7B"/>
    <w:rsid w:val="004D0400"/>
    <w:rsid w:val="004D0D8D"/>
    <w:rsid w:val="004D2626"/>
    <w:rsid w:val="004D3A5E"/>
    <w:rsid w:val="004D4327"/>
    <w:rsid w:val="004D4D6E"/>
    <w:rsid w:val="004D5071"/>
    <w:rsid w:val="004D5607"/>
    <w:rsid w:val="004D59B1"/>
    <w:rsid w:val="004D5C97"/>
    <w:rsid w:val="004D623B"/>
    <w:rsid w:val="004D664F"/>
    <w:rsid w:val="004D6CFA"/>
    <w:rsid w:val="004D6EE1"/>
    <w:rsid w:val="004D754D"/>
    <w:rsid w:val="004D7923"/>
    <w:rsid w:val="004D7FD6"/>
    <w:rsid w:val="004E14AB"/>
    <w:rsid w:val="004E15FF"/>
    <w:rsid w:val="004E3AF8"/>
    <w:rsid w:val="004E58F7"/>
    <w:rsid w:val="004E6D64"/>
    <w:rsid w:val="004E72EA"/>
    <w:rsid w:val="004F051B"/>
    <w:rsid w:val="004F1241"/>
    <w:rsid w:val="004F12D0"/>
    <w:rsid w:val="004F3D61"/>
    <w:rsid w:val="004F4B96"/>
    <w:rsid w:val="004F592B"/>
    <w:rsid w:val="004F5BE8"/>
    <w:rsid w:val="004F66EA"/>
    <w:rsid w:val="004F69C9"/>
    <w:rsid w:val="004F7688"/>
    <w:rsid w:val="004F7FB2"/>
    <w:rsid w:val="00500ECC"/>
    <w:rsid w:val="00501939"/>
    <w:rsid w:val="00501BD0"/>
    <w:rsid w:val="0050271D"/>
    <w:rsid w:val="0050365E"/>
    <w:rsid w:val="00504230"/>
    <w:rsid w:val="0050433B"/>
    <w:rsid w:val="0050475C"/>
    <w:rsid w:val="00504982"/>
    <w:rsid w:val="005051C8"/>
    <w:rsid w:val="00506A01"/>
    <w:rsid w:val="00507B43"/>
    <w:rsid w:val="005104D3"/>
    <w:rsid w:val="00510E44"/>
    <w:rsid w:val="00511534"/>
    <w:rsid w:val="00511767"/>
    <w:rsid w:val="00512060"/>
    <w:rsid w:val="005127C8"/>
    <w:rsid w:val="005130D2"/>
    <w:rsid w:val="00513502"/>
    <w:rsid w:val="00514008"/>
    <w:rsid w:val="005145FB"/>
    <w:rsid w:val="0051525F"/>
    <w:rsid w:val="00515F6F"/>
    <w:rsid w:val="0051634A"/>
    <w:rsid w:val="00517982"/>
    <w:rsid w:val="00517A5F"/>
    <w:rsid w:val="005200A0"/>
    <w:rsid w:val="00520DC2"/>
    <w:rsid w:val="00521146"/>
    <w:rsid w:val="00521B1B"/>
    <w:rsid w:val="005220AB"/>
    <w:rsid w:val="005258E1"/>
    <w:rsid w:val="00525BAC"/>
    <w:rsid w:val="00526405"/>
    <w:rsid w:val="00526ECD"/>
    <w:rsid w:val="00527231"/>
    <w:rsid w:val="005305F1"/>
    <w:rsid w:val="00530C9B"/>
    <w:rsid w:val="00532AA6"/>
    <w:rsid w:val="0053313B"/>
    <w:rsid w:val="00533D2D"/>
    <w:rsid w:val="00533E2E"/>
    <w:rsid w:val="00534030"/>
    <w:rsid w:val="0053415C"/>
    <w:rsid w:val="00535DD4"/>
    <w:rsid w:val="00537BEB"/>
    <w:rsid w:val="00537F4F"/>
    <w:rsid w:val="005400F2"/>
    <w:rsid w:val="00540E03"/>
    <w:rsid w:val="005425A7"/>
    <w:rsid w:val="00542690"/>
    <w:rsid w:val="00543941"/>
    <w:rsid w:val="005443FA"/>
    <w:rsid w:val="00544847"/>
    <w:rsid w:val="005464A3"/>
    <w:rsid w:val="00547038"/>
    <w:rsid w:val="005471C6"/>
    <w:rsid w:val="00547490"/>
    <w:rsid w:val="00547DAC"/>
    <w:rsid w:val="00547DF1"/>
    <w:rsid w:val="005508F2"/>
    <w:rsid w:val="00551358"/>
    <w:rsid w:val="005525D0"/>
    <w:rsid w:val="00552A1C"/>
    <w:rsid w:val="00552D2A"/>
    <w:rsid w:val="00554052"/>
    <w:rsid w:val="00554633"/>
    <w:rsid w:val="00555BC3"/>
    <w:rsid w:val="00555F8D"/>
    <w:rsid w:val="00556028"/>
    <w:rsid w:val="005568C3"/>
    <w:rsid w:val="00556CBC"/>
    <w:rsid w:val="00557761"/>
    <w:rsid w:val="00557ADD"/>
    <w:rsid w:val="00557BCF"/>
    <w:rsid w:val="00557DA9"/>
    <w:rsid w:val="00560681"/>
    <w:rsid w:val="00560852"/>
    <w:rsid w:val="00562043"/>
    <w:rsid w:val="00562224"/>
    <w:rsid w:val="00562985"/>
    <w:rsid w:val="005633FF"/>
    <w:rsid w:val="005635CC"/>
    <w:rsid w:val="00563783"/>
    <w:rsid w:val="00563A73"/>
    <w:rsid w:val="00564546"/>
    <w:rsid w:val="00564B79"/>
    <w:rsid w:val="005651AB"/>
    <w:rsid w:val="00565428"/>
    <w:rsid w:val="00565550"/>
    <w:rsid w:val="00565CCB"/>
    <w:rsid w:val="00566248"/>
    <w:rsid w:val="005667E9"/>
    <w:rsid w:val="00567599"/>
    <w:rsid w:val="00567CDE"/>
    <w:rsid w:val="00571418"/>
    <w:rsid w:val="00571DD1"/>
    <w:rsid w:val="0057211A"/>
    <w:rsid w:val="0057326A"/>
    <w:rsid w:val="005743C8"/>
    <w:rsid w:val="005749F5"/>
    <w:rsid w:val="005751A2"/>
    <w:rsid w:val="005752DC"/>
    <w:rsid w:val="00575A4A"/>
    <w:rsid w:val="00575AFE"/>
    <w:rsid w:val="005769BD"/>
    <w:rsid w:val="00577115"/>
    <w:rsid w:val="00577247"/>
    <w:rsid w:val="00577E88"/>
    <w:rsid w:val="00580823"/>
    <w:rsid w:val="00580E0A"/>
    <w:rsid w:val="00580F02"/>
    <w:rsid w:val="00580FF8"/>
    <w:rsid w:val="00582524"/>
    <w:rsid w:val="00582AA9"/>
    <w:rsid w:val="005833B1"/>
    <w:rsid w:val="00584285"/>
    <w:rsid w:val="00584571"/>
    <w:rsid w:val="00585767"/>
    <w:rsid w:val="00585A17"/>
    <w:rsid w:val="00585E1D"/>
    <w:rsid w:val="00586454"/>
    <w:rsid w:val="00586C53"/>
    <w:rsid w:val="0058711E"/>
    <w:rsid w:val="00587BC6"/>
    <w:rsid w:val="00590DB8"/>
    <w:rsid w:val="00591C81"/>
    <w:rsid w:val="0059390F"/>
    <w:rsid w:val="005957CC"/>
    <w:rsid w:val="00596C18"/>
    <w:rsid w:val="005971A9"/>
    <w:rsid w:val="00597478"/>
    <w:rsid w:val="005A1249"/>
    <w:rsid w:val="005A129A"/>
    <w:rsid w:val="005A1B1F"/>
    <w:rsid w:val="005A1F7F"/>
    <w:rsid w:val="005A2682"/>
    <w:rsid w:val="005A2C39"/>
    <w:rsid w:val="005A3004"/>
    <w:rsid w:val="005A31E5"/>
    <w:rsid w:val="005A3B0E"/>
    <w:rsid w:val="005A3BB9"/>
    <w:rsid w:val="005A3F6B"/>
    <w:rsid w:val="005A42DF"/>
    <w:rsid w:val="005A4E72"/>
    <w:rsid w:val="005A5CF7"/>
    <w:rsid w:val="005A60D3"/>
    <w:rsid w:val="005A612D"/>
    <w:rsid w:val="005A705D"/>
    <w:rsid w:val="005A7518"/>
    <w:rsid w:val="005B146F"/>
    <w:rsid w:val="005B1758"/>
    <w:rsid w:val="005B1F63"/>
    <w:rsid w:val="005B2853"/>
    <w:rsid w:val="005B2D47"/>
    <w:rsid w:val="005B558C"/>
    <w:rsid w:val="005B5667"/>
    <w:rsid w:val="005B5EDC"/>
    <w:rsid w:val="005B5EF6"/>
    <w:rsid w:val="005B619E"/>
    <w:rsid w:val="005B655E"/>
    <w:rsid w:val="005B6D31"/>
    <w:rsid w:val="005B6E25"/>
    <w:rsid w:val="005B761B"/>
    <w:rsid w:val="005B7855"/>
    <w:rsid w:val="005B7FF4"/>
    <w:rsid w:val="005C0AC3"/>
    <w:rsid w:val="005C1290"/>
    <w:rsid w:val="005C2678"/>
    <w:rsid w:val="005C3ACB"/>
    <w:rsid w:val="005C3B51"/>
    <w:rsid w:val="005C3DF1"/>
    <w:rsid w:val="005C4A34"/>
    <w:rsid w:val="005C4DF9"/>
    <w:rsid w:val="005C5AB5"/>
    <w:rsid w:val="005C6270"/>
    <w:rsid w:val="005C6991"/>
    <w:rsid w:val="005C6CD7"/>
    <w:rsid w:val="005C740E"/>
    <w:rsid w:val="005D013B"/>
    <w:rsid w:val="005D1689"/>
    <w:rsid w:val="005D1912"/>
    <w:rsid w:val="005D202E"/>
    <w:rsid w:val="005D2AA2"/>
    <w:rsid w:val="005D356D"/>
    <w:rsid w:val="005D3F39"/>
    <w:rsid w:val="005D4906"/>
    <w:rsid w:val="005D53A7"/>
    <w:rsid w:val="005D5C6F"/>
    <w:rsid w:val="005D6C24"/>
    <w:rsid w:val="005E23B1"/>
    <w:rsid w:val="005E2BB8"/>
    <w:rsid w:val="005E3F31"/>
    <w:rsid w:val="005E4876"/>
    <w:rsid w:val="005E5809"/>
    <w:rsid w:val="005E5898"/>
    <w:rsid w:val="005E617B"/>
    <w:rsid w:val="005E62F3"/>
    <w:rsid w:val="005E6C3B"/>
    <w:rsid w:val="005E76E0"/>
    <w:rsid w:val="005F0CE6"/>
    <w:rsid w:val="005F193E"/>
    <w:rsid w:val="005F1C8D"/>
    <w:rsid w:val="005F1EA0"/>
    <w:rsid w:val="005F24F5"/>
    <w:rsid w:val="005F28A4"/>
    <w:rsid w:val="005F2BC3"/>
    <w:rsid w:val="005F3373"/>
    <w:rsid w:val="005F3427"/>
    <w:rsid w:val="005F3A65"/>
    <w:rsid w:val="005F3B34"/>
    <w:rsid w:val="005F4746"/>
    <w:rsid w:val="005F497D"/>
    <w:rsid w:val="005F5176"/>
    <w:rsid w:val="005F5536"/>
    <w:rsid w:val="005F55DD"/>
    <w:rsid w:val="005F5D55"/>
    <w:rsid w:val="005F68D5"/>
    <w:rsid w:val="005F7727"/>
    <w:rsid w:val="005F78D0"/>
    <w:rsid w:val="0060010C"/>
    <w:rsid w:val="006001A8"/>
    <w:rsid w:val="006007FC"/>
    <w:rsid w:val="0060080C"/>
    <w:rsid w:val="00600DC8"/>
    <w:rsid w:val="00602788"/>
    <w:rsid w:val="00602C27"/>
    <w:rsid w:val="0060468B"/>
    <w:rsid w:val="006048B9"/>
    <w:rsid w:val="0060540C"/>
    <w:rsid w:val="006055DA"/>
    <w:rsid w:val="00606029"/>
    <w:rsid w:val="006062E9"/>
    <w:rsid w:val="00606F3E"/>
    <w:rsid w:val="00607695"/>
    <w:rsid w:val="006107FF"/>
    <w:rsid w:val="006108BC"/>
    <w:rsid w:val="006112B3"/>
    <w:rsid w:val="00614CC6"/>
    <w:rsid w:val="00615269"/>
    <w:rsid w:val="00615523"/>
    <w:rsid w:val="00615763"/>
    <w:rsid w:val="00616C68"/>
    <w:rsid w:val="00620916"/>
    <w:rsid w:val="006214DB"/>
    <w:rsid w:val="00623D90"/>
    <w:rsid w:val="00623E82"/>
    <w:rsid w:val="00623F01"/>
    <w:rsid w:val="00624226"/>
    <w:rsid w:val="006242BB"/>
    <w:rsid w:val="00624712"/>
    <w:rsid w:val="006249E7"/>
    <w:rsid w:val="00624F2A"/>
    <w:rsid w:val="00626663"/>
    <w:rsid w:val="00626B37"/>
    <w:rsid w:val="00626BE4"/>
    <w:rsid w:val="00627289"/>
    <w:rsid w:val="0063098B"/>
    <w:rsid w:val="006334FC"/>
    <w:rsid w:val="00634100"/>
    <w:rsid w:val="00634107"/>
    <w:rsid w:val="00634E4E"/>
    <w:rsid w:val="00635F15"/>
    <w:rsid w:val="0063738A"/>
    <w:rsid w:val="0064032A"/>
    <w:rsid w:val="006404D0"/>
    <w:rsid w:val="00640C6D"/>
    <w:rsid w:val="0064106F"/>
    <w:rsid w:val="00641BB2"/>
    <w:rsid w:val="006423D5"/>
    <w:rsid w:val="006430E9"/>
    <w:rsid w:val="00643E5A"/>
    <w:rsid w:val="00644095"/>
    <w:rsid w:val="006441C1"/>
    <w:rsid w:val="0064453F"/>
    <w:rsid w:val="00644806"/>
    <w:rsid w:val="0064487E"/>
    <w:rsid w:val="0064499C"/>
    <w:rsid w:val="00644B08"/>
    <w:rsid w:val="00644C1E"/>
    <w:rsid w:val="00645CBF"/>
    <w:rsid w:val="00646764"/>
    <w:rsid w:val="00646E5E"/>
    <w:rsid w:val="00651EFD"/>
    <w:rsid w:val="006524DD"/>
    <w:rsid w:val="006535D0"/>
    <w:rsid w:val="00653663"/>
    <w:rsid w:val="00653CEB"/>
    <w:rsid w:val="0065524B"/>
    <w:rsid w:val="0065556A"/>
    <w:rsid w:val="006600EA"/>
    <w:rsid w:val="00660F4A"/>
    <w:rsid w:val="0066180E"/>
    <w:rsid w:val="00661A92"/>
    <w:rsid w:val="00662181"/>
    <w:rsid w:val="0066244F"/>
    <w:rsid w:val="00662A6B"/>
    <w:rsid w:val="00662DFC"/>
    <w:rsid w:val="00663245"/>
    <w:rsid w:val="00664814"/>
    <w:rsid w:val="00664A48"/>
    <w:rsid w:val="0066503B"/>
    <w:rsid w:val="00665625"/>
    <w:rsid w:val="00665762"/>
    <w:rsid w:val="006673BD"/>
    <w:rsid w:val="00667405"/>
    <w:rsid w:val="00667DA3"/>
    <w:rsid w:val="0067000F"/>
    <w:rsid w:val="00670AF3"/>
    <w:rsid w:val="00671116"/>
    <w:rsid w:val="0067201B"/>
    <w:rsid w:val="00672722"/>
    <w:rsid w:val="00672C6D"/>
    <w:rsid w:val="00672D82"/>
    <w:rsid w:val="0067303C"/>
    <w:rsid w:val="00673BE1"/>
    <w:rsid w:val="00674059"/>
    <w:rsid w:val="0067474F"/>
    <w:rsid w:val="00674F5A"/>
    <w:rsid w:val="006757B8"/>
    <w:rsid w:val="00675A28"/>
    <w:rsid w:val="00676044"/>
    <w:rsid w:val="00677B98"/>
    <w:rsid w:val="0068105C"/>
    <w:rsid w:val="006817C3"/>
    <w:rsid w:val="00681F78"/>
    <w:rsid w:val="00682C94"/>
    <w:rsid w:val="006834B8"/>
    <w:rsid w:val="0068356E"/>
    <w:rsid w:val="006835C2"/>
    <w:rsid w:val="00683930"/>
    <w:rsid w:val="006839A8"/>
    <w:rsid w:val="0068493E"/>
    <w:rsid w:val="00684E3E"/>
    <w:rsid w:val="00684E59"/>
    <w:rsid w:val="00684FA4"/>
    <w:rsid w:val="006851AA"/>
    <w:rsid w:val="006851DC"/>
    <w:rsid w:val="006854EA"/>
    <w:rsid w:val="00685F0B"/>
    <w:rsid w:val="00686C8C"/>
    <w:rsid w:val="00687CF6"/>
    <w:rsid w:val="00690514"/>
    <w:rsid w:val="006905B9"/>
    <w:rsid w:val="00690BDF"/>
    <w:rsid w:val="00690EB3"/>
    <w:rsid w:val="006919F9"/>
    <w:rsid w:val="00692509"/>
    <w:rsid w:val="0069396E"/>
    <w:rsid w:val="006949EC"/>
    <w:rsid w:val="00694F5C"/>
    <w:rsid w:val="006956E6"/>
    <w:rsid w:val="00695F6F"/>
    <w:rsid w:val="0069609D"/>
    <w:rsid w:val="00696276"/>
    <w:rsid w:val="0069644A"/>
    <w:rsid w:val="00697514"/>
    <w:rsid w:val="00697BB8"/>
    <w:rsid w:val="006A21AA"/>
    <w:rsid w:val="006A2741"/>
    <w:rsid w:val="006A2954"/>
    <w:rsid w:val="006A2CA0"/>
    <w:rsid w:val="006A30CB"/>
    <w:rsid w:val="006A3D4F"/>
    <w:rsid w:val="006A4057"/>
    <w:rsid w:val="006A4D57"/>
    <w:rsid w:val="006A4DDD"/>
    <w:rsid w:val="006A6132"/>
    <w:rsid w:val="006A698F"/>
    <w:rsid w:val="006A6C05"/>
    <w:rsid w:val="006A73A7"/>
    <w:rsid w:val="006A799D"/>
    <w:rsid w:val="006B0866"/>
    <w:rsid w:val="006B0E1C"/>
    <w:rsid w:val="006B1E28"/>
    <w:rsid w:val="006B2545"/>
    <w:rsid w:val="006B2559"/>
    <w:rsid w:val="006B284C"/>
    <w:rsid w:val="006B2932"/>
    <w:rsid w:val="006B29AD"/>
    <w:rsid w:val="006B341F"/>
    <w:rsid w:val="006B35D9"/>
    <w:rsid w:val="006B3899"/>
    <w:rsid w:val="006B3B7F"/>
    <w:rsid w:val="006B46F1"/>
    <w:rsid w:val="006B50FC"/>
    <w:rsid w:val="006B5355"/>
    <w:rsid w:val="006B5564"/>
    <w:rsid w:val="006B59AA"/>
    <w:rsid w:val="006B5D75"/>
    <w:rsid w:val="006B5F5B"/>
    <w:rsid w:val="006B6155"/>
    <w:rsid w:val="006B6FF0"/>
    <w:rsid w:val="006B71B6"/>
    <w:rsid w:val="006B74F7"/>
    <w:rsid w:val="006C1D36"/>
    <w:rsid w:val="006C1F40"/>
    <w:rsid w:val="006C2B2A"/>
    <w:rsid w:val="006C2F31"/>
    <w:rsid w:val="006C3720"/>
    <w:rsid w:val="006C5665"/>
    <w:rsid w:val="006C7011"/>
    <w:rsid w:val="006C7EC1"/>
    <w:rsid w:val="006D0439"/>
    <w:rsid w:val="006D102A"/>
    <w:rsid w:val="006D13EE"/>
    <w:rsid w:val="006D1C29"/>
    <w:rsid w:val="006D1D89"/>
    <w:rsid w:val="006D2367"/>
    <w:rsid w:val="006D2D7C"/>
    <w:rsid w:val="006D4FBD"/>
    <w:rsid w:val="006D746E"/>
    <w:rsid w:val="006D74B5"/>
    <w:rsid w:val="006E03E9"/>
    <w:rsid w:val="006E0A6A"/>
    <w:rsid w:val="006E1DA3"/>
    <w:rsid w:val="006E22B7"/>
    <w:rsid w:val="006E22FA"/>
    <w:rsid w:val="006E332B"/>
    <w:rsid w:val="006E54CA"/>
    <w:rsid w:val="006E6DF8"/>
    <w:rsid w:val="006E78CF"/>
    <w:rsid w:val="006E7ACE"/>
    <w:rsid w:val="006F006B"/>
    <w:rsid w:val="006F1004"/>
    <w:rsid w:val="006F1661"/>
    <w:rsid w:val="006F2296"/>
    <w:rsid w:val="006F2BF3"/>
    <w:rsid w:val="006F38D6"/>
    <w:rsid w:val="006F3B19"/>
    <w:rsid w:val="006F4484"/>
    <w:rsid w:val="006F536A"/>
    <w:rsid w:val="006F6306"/>
    <w:rsid w:val="006F6813"/>
    <w:rsid w:val="006F694A"/>
    <w:rsid w:val="006F6B3E"/>
    <w:rsid w:val="006F729A"/>
    <w:rsid w:val="006F72A0"/>
    <w:rsid w:val="006F770E"/>
    <w:rsid w:val="0070029A"/>
    <w:rsid w:val="00700DD1"/>
    <w:rsid w:val="00700FBD"/>
    <w:rsid w:val="00701025"/>
    <w:rsid w:val="00701443"/>
    <w:rsid w:val="0070266D"/>
    <w:rsid w:val="00703416"/>
    <w:rsid w:val="00704590"/>
    <w:rsid w:val="007048F5"/>
    <w:rsid w:val="007058F7"/>
    <w:rsid w:val="00705941"/>
    <w:rsid w:val="00705B6E"/>
    <w:rsid w:val="00706A16"/>
    <w:rsid w:val="00706EC7"/>
    <w:rsid w:val="0070759A"/>
    <w:rsid w:val="00707D38"/>
    <w:rsid w:val="007100D4"/>
    <w:rsid w:val="00710249"/>
    <w:rsid w:val="00710796"/>
    <w:rsid w:val="007107CF"/>
    <w:rsid w:val="00711B60"/>
    <w:rsid w:val="007123C3"/>
    <w:rsid w:val="00713465"/>
    <w:rsid w:val="00715128"/>
    <w:rsid w:val="00715B8B"/>
    <w:rsid w:val="00715D10"/>
    <w:rsid w:val="00716C7D"/>
    <w:rsid w:val="00720549"/>
    <w:rsid w:val="0072121E"/>
    <w:rsid w:val="00721270"/>
    <w:rsid w:val="00722B16"/>
    <w:rsid w:val="007235D7"/>
    <w:rsid w:val="0072388C"/>
    <w:rsid w:val="00724337"/>
    <w:rsid w:val="00724F4E"/>
    <w:rsid w:val="007254A6"/>
    <w:rsid w:val="00725995"/>
    <w:rsid w:val="00726794"/>
    <w:rsid w:val="00727989"/>
    <w:rsid w:val="00730E76"/>
    <w:rsid w:val="00730F34"/>
    <w:rsid w:val="00730FDA"/>
    <w:rsid w:val="00731079"/>
    <w:rsid w:val="0073145A"/>
    <w:rsid w:val="00733CE5"/>
    <w:rsid w:val="00734209"/>
    <w:rsid w:val="0073486B"/>
    <w:rsid w:val="0073486F"/>
    <w:rsid w:val="00735830"/>
    <w:rsid w:val="00736108"/>
    <w:rsid w:val="00736A81"/>
    <w:rsid w:val="00736FEF"/>
    <w:rsid w:val="00740794"/>
    <w:rsid w:val="00740B89"/>
    <w:rsid w:val="00740D17"/>
    <w:rsid w:val="0074181E"/>
    <w:rsid w:val="00741CDB"/>
    <w:rsid w:val="007422E1"/>
    <w:rsid w:val="0074277F"/>
    <w:rsid w:val="00743CC6"/>
    <w:rsid w:val="00744162"/>
    <w:rsid w:val="00745796"/>
    <w:rsid w:val="0074579D"/>
    <w:rsid w:val="00745DF4"/>
    <w:rsid w:val="007463F8"/>
    <w:rsid w:val="00746EE4"/>
    <w:rsid w:val="00747095"/>
    <w:rsid w:val="0074717B"/>
    <w:rsid w:val="00747FED"/>
    <w:rsid w:val="0075055C"/>
    <w:rsid w:val="0075096A"/>
    <w:rsid w:val="00750C25"/>
    <w:rsid w:val="00751666"/>
    <w:rsid w:val="007525B5"/>
    <w:rsid w:val="007527C3"/>
    <w:rsid w:val="00753168"/>
    <w:rsid w:val="007535F1"/>
    <w:rsid w:val="00753675"/>
    <w:rsid w:val="007539E7"/>
    <w:rsid w:val="00754810"/>
    <w:rsid w:val="0075529D"/>
    <w:rsid w:val="007554DA"/>
    <w:rsid w:val="007557D0"/>
    <w:rsid w:val="007568A3"/>
    <w:rsid w:val="00756F3B"/>
    <w:rsid w:val="00757AAB"/>
    <w:rsid w:val="00757E0D"/>
    <w:rsid w:val="007602BC"/>
    <w:rsid w:val="00760655"/>
    <w:rsid w:val="00760D0B"/>
    <w:rsid w:val="00760DC8"/>
    <w:rsid w:val="00761346"/>
    <w:rsid w:val="00762243"/>
    <w:rsid w:val="007628D4"/>
    <w:rsid w:val="00765273"/>
    <w:rsid w:val="00765886"/>
    <w:rsid w:val="00765E3A"/>
    <w:rsid w:val="007665C3"/>
    <w:rsid w:val="00767BB0"/>
    <w:rsid w:val="00767F0F"/>
    <w:rsid w:val="00770016"/>
    <w:rsid w:val="0077011A"/>
    <w:rsid w:val="007707ED"/>
    <w:rsid w:val="00771129"/>
    <w:rsid w:val="00771474"/>
    <w:rsid w:val="0077155A"/>
    <w:rsid w:val="007726A7"/>
    <w:rsid w:val="00773424"/>
    <w:rsid w:val="00773508"/>
    <w:rsid w:val="00775569"/>
    <w:rsid w:val="007760BD"/>
    <w:rsid w:val="00777893"/>
    <w:rsid w:val="00777BEC"/>
    <w:rsid w:val="00777D74"/>
    <w:rsid w:val="00780878"/>
    <w:rsid w:val="00781A0A"/>
    <w:rsid w:val="007822C1"/>
    <w:rsid w:val="007828C1"/>
    <w:rsid w:val="00783466"/>
    <w:rsid w:val="00783662"/>
    <w:rsid w:val="007838E7"/>
    <w:rsid w:val="00786D5B"/>
    <w:rsid w:val="00787B88"/>
    <w:rsid w:val="00787F9D"/>
    <w:rsid w:val="00792858"/>
    <w:rsid w:val="00792968"/>
    <w:rsid w:val="007929EE"/>
    <w:rsid w:val="00793602"/>
    <w:rsid w:val="007939BB"/>
    <w:rsid w:val="0079416B"/>
    <w:rsid w:val="007944C0"/>
    <w:rsid w:val="00794C3D"/>
    <w:rsid w:val="00794C71"/>
    <w:rsid w:val="007951B7"/>
    <w:rsid w:val="00796417"/>
    <w:rsid w:val="00796559"/>
    <w:rsid w:val="00796AEE"/>
    <w:rsid w:val="007A1DF0"/>
    <w:rsid w:val="007A3316"/>
    <w:rsid w:val="007A3B55"/>
    <w:rsid w:val="007A3ED8"/>
    <w:rsid w:val="007A533C"/>
    <w:rsid w:val="007A5889"/>
    <w:rsid w:val="007A5EB3"/>
    <w:rsid w:val="007A5FFF"/>
    <w:rsid w:val="007A617E"/>
    <w:rsid w:val="007A7CAD"/>
    <w:rsid w:val="007A7E7A"/>
    <w:rsid w:val="007B0CD9"/>
    <w:rsid w:val="007B101F"/>
    <w:rsid w:val="007B1337"/>
    <w:rsid w:val="007B1B6E"/>
    <w:rsid w:val="007B3074"/>
    <w:rsid w:val="007B3675"/>
    <w:rsid w:val="007B3B2F"/>
    <w:rsid w:val="007B3DD4"/>
    <w:rsid w:val="007B4D28"/>
    <w:rsid w:val="007B5E21"/>
    <w:rsid w:val="007B648B"/>
    <w:rsid w:val="007B703B"/>
    <w:rsid w:val="007B7229"/>
    <w:rsid w:val="007C0147"/>
    <w:rsid w:val="007C0303"/>
    <w:rsid w:val="007C072B"/>
    <w:rsid w:val="007C0A4E"/>
    <w:rsid w:val="007C1E8B"/>
    <w:rsid w:val="007C2826"/>
    <w:rsid w:val="007C28F5"/>
    <w:rsid w:val="007C3629"/>
    <w:rsid w:val="007C3B48"/>
    <w:rsid w:val="007C44DF"/>
    <w:rsid w:val="007C5BD5"/>
    <w:rsid w:val="007C6B56"/>
    <w:rsid w:val="007C7120"/>
    <w:rsid w:val="007C732E"/>
    <w:rsid w:val="007D02A5"/>
    <w:rsid w:val="007D0C86"/>
    <w:rsid w:val="007D17E0"/>
    <w:rsid w:val="007D1ADC"/>
    <w:rsid w:val="007D1B00"/>
    <w:rsid w:val="007D25CE"/>
    <w:rsid w:val="007D39AB"/>
    <w:rsid w:val="007D3A0F"/>
    <w:rsid w:val="007D3E52"/>
    <w:rsid w:val="007D400D"/>
    <w:rsid w:val="007D4E24"/>
    <w:rsid w:val="007D593F"/>
    <w:rsid w:val="007D6B92"/>
    <w:rsid w:val="007D767A"/>
    <w:rsid w:val="007D7D39"/>
    <w:rsid w:val="007D7DD1"/>
    <w:rsid w:val="007E5174"/>
    <w:rsid w:val="007E5EF1"/>
    <w:rsid w:val="007E7028"/>
    <w:rsid w:val="007F1353"/>
    <w:rsid w:val="007F142D"/>
    <w:rsid w:val="007F178E"/>
    <w:rsid w:val="007F1838"/>
    <w:rsid w:val="007F1CEC"/>
    <w:rsid w:val="007F210E"/>
    <w:rsid w:val="007F293C"/>
    <w:rsid w:val="007F29CC"/>
    <w:rsid w:val="007F2B66"/>
    <w:rsid w:val="007F2EF0"/>
    <w:rsid w:val="007F331C"/>
    <w:rsid w:val="007F5FF7"/>
    <w:rsid w:val="007F610D"/>
    <w:rsid w:val="00800428"/>
    <w:rsid w:val="00800C2C"/>
    <w:rsid w:val="00800FB3"/>
    <w:rsid w:val="00800FB4"/>
    <w:rsid w:val="00801194"/>
    <w:rsid w:val="008014E1"/>
    <w:rsid w:val="00801CFD"/>
    <w:rsid w:val="00801F22"/>
    <w:rsid w:val="00802902"/>
    <w:rsid w:val="00803338"/>
    <w:rsid w:val="00803CAB"/>
    <w:rsid w:val="00804433"/>
    <w:rsid w:val="00804B5A"/>
    <w:rsid w:val="00804BDB"/>
    <w:rsid w:val="00804EDF"/>
    <w:rsid w:val="00806668"/>
    <w:rsid w:val="0081054B"/>
    <w:rsid w:val="008106D0"/>
    <w:rsid w:val="008114B8"/>
    <w:rsid w:val="00811DF8"/>
    <w:rsid w:val="0081210E"/>
    <w:rsid w:val="00813488"/>
    <w:rsid w:val="00814759"/>
    <w:rsid w:val="008149D3"/>
    <w:rsid w:val="0081521C"/>
    <w:rsid w:val="00815263"/>
    <w:rsid w:val="008153DE"/>
    <w:rsid w:val="008162A9"/>
    <w:rsid w:val="00816FB8"/>
    <w:rsid w:val="008175DF"/>
    <w:rsid w:val="00820D5D"/>
    <w:rsid w:val="00820F13"/>
    <w:rsid w:val="00821415"/>
    <w:rsid w:val="008219E5"/>
    <w:rsid w:val="00822449"/>
    <w:rsid w:val="0082283C"/>
    <w:rsid w:val="00822C94"/>
    <w:rsid w:val="00822DC2"/>
    <w:rsid w:val="00822FD7"/>
    <w:rsid w:val="0082358A"/>
    <w:rsid w:val="0082379A"/>
    <w:rsid w:val="008237F2"/>
    <w:rsid w:val="00824024"/>
    <w:rsid w:val="00824E9A"/>
    <w:rsid w:val="00824EB3"/>
    <w:rsid w:val="00825B62"/>
    <w:rsid w:val="00826985"/>
    <w:rsid w:val="00826C44"/>
    <w:rsid w:val="00827027"/>
    <w:rsid w:val="00827669"/>
    <w:rsid w:val="0083128C"/>
    <w:rsid w:val="00831E4C"/>
    <w:rsid w:val="00832B0F"/>
    <w:rsid w:val="00833064"/>
    <w:rsid w:val="00833D12"/>
    <w:rsid w:val="00835624"/>
    <w:rsid w:val="00835863"/>
    <w:rsid w:val="00835B59"/>
    <w:rsid w:val="00835DA7"/>
    <w:rsid w:val="00836AD9"/>
    <w:rsid w:val="0083730F"/>
    <w:rsid w:val="0083731A"/>
    <w:rsid w:val="00837D45"/>
    <w:rsid w:val="00837DF4"/>
    <w:rsid w:val="008401BD"/>
    <w:rsid w:val="0084034D"/>
    <w:rsid w:val="00841964"/>
    <w:rsid w:val="00842B8E"/>
    <w:rsid w:val="00843316"/>
    <w:rsid w:val="00843FF3"/>
    <w:rsid w:val="008440BD"/>
    <w:rsid w:val="008445A6"/>
    <w:rsid w:val="00845967"/>
    <w:rsid w:val="008461B5"/>
    <w:rsid w:val="0084663A"/>
    <w:rsid w:val="008501A5"/>
    <w:rsid w:val="00850384"/>
    <w:rsid w:val="00851B05"/>
    <w:rsid w:val="00852CF8"/>
    <w:rsid w:val="00852DE6"/>
    <w:rsid w:val="00853359"/>
    <w:rsid w:val="008538DF"/>
    <w:rsid w:val="008548E0"/>
    <w:rsid w:val="008562FC"/>
    <w:rsid w:val="00856CFA"/>
    <w:rsid w:val="008577D3"/>
    <w:rsid w:val="00860012"/>
    <w:rsid w:val="00862225"/>
    <w:rsid w:val="00863215"/>
    <w:rsid w:val="00863ED5"/>
    <w:rsid w:val="008653B5"/>
    <w:rsid w:val="0086558A"/>
    <w:rsid w:val="00865868"/>
    <w:rsid w:val="00865EF1"/>
    <w:rsid w:val="00866AE2"/>
    <w:rsid w:val="00866F61"/>
    <w:rsid w:val="00867129"/>
    <w:rsid w:val="00867DB4"/>
    <w:rsid w:val="00872A04"/>
    <w:rsid w:val="00873328"/>
    <w:rsid w:val="0087432B"/>
    <w:rsid w:val="008744F2"/>
    <w:rsid w:val="00875603"/>
    <w:rsid w:val="00876AEC"/>
    <w:rsid w:val="00877070"/>
    <w:rsid w:val="00877101"/>
    <w:rsid w:val="00877721"/>
    <w:rsid w:val="00880C4B"/>
    <w:rsid w:val="008819E9"/>
    <w:rsid w:val="00882160"/>
    <w:rsid w:val="008829E5"/>
    <w:rsid w:val="008837AB"/>
    <w:rsid w:val="00884742"/>
    <w:rsid w:val="00884BAD"/>
    <w:rsid w:val="00884E6B"/>
    <w:rsid w:val="008856E2"/>
    <w:rsid w:val="008858A2"/>
    <w:rsid w:val="00886C92"/>
    <w:rsid w:val="008879E3"/>
    <w:rsid w:val="0089024C"/>
    <w:rsid w:val="008908CA"/>
    <w:rsid w:val="008917DB"/>
    <w:rsid w:val="00891C8C"/>
    <w:rsid w:val="00892D93"/>
    <w:rsid w:val="008930FC"/>
    <w:rsid w:val="008939DA"/>
    <w:rsid w:val="00894076"/>
    <w:rsid w:val="008941B7"/>
    <w:rsid w:val="00894BD6"/>
    <w:rsid w:val="00894DA3"/>
    <w:rsid w:val="00895431"/>
    <w:rsid w:val="008954CC"/>
    <w:rsid w:val="00895D02"/>
    <w:rsid w:val="00895E8E"/>
    <w:rsid w:val="00895F94"/>
    <w:rsid w:val="00897105"/>
    <w:rsid w:val="008974FF"/>
    <w:rsid w:val="008A02D7"/>
    <w:rsid w:val="008A02E6"/>
    <w:rsid w:val="008A097E"/>
    <w:rsid w:val="008A0D37"/>
    <w:rsid w:val="008A1D8F"/>
    <w:rsid w:val="008A1F19"/>
    <w:rsid w:val="008A382F"/>
    <w:rsid w:val="008A3955"/>
    <w:rsid w:val="008A422B"/>
    <w:rsid w:val="008A44DE"/>
    <w:rsid w:val="008A4578"/>
    <w:rsid w:val="008A49EC"/>
    <w:rsid w:val="008A49F1"/>
    <w:rsid w:val="008A4F76"/>
    <w:rsid w:val="008A531C"/>
    <w:rsid w:val="008A550A"/>
    <w:rsid w:val="008A66ED"/>
    <w:rsid w:val="008B05E2"/>
    <w:rsid w:val="008B0E2E"/>
    <w:rsid w:val="008B1E38"/>
    <w:rsid w:val="008B336F"/>
    <w:rsid w:val="008B338A"/>
    <w:rsid w:val="008B4137"/>
    <w:rsid w:val="008B4956"/>
    <w:rsid w:val="008B5966"/>
    <w:rsid w:val="008B7E88"/>
    <w:rsid w:val="008C053F"/>
    <w:rsid w:val="008C3117"/>
    <w:rsid w:val="008C350F"/>
    <w:rsid w:val="008C3919"/>
    <w:rsid w:val="008C39A5"/>
    <w:rsid w:val="008C49FC"/>
    <w:rsid w:val="008C608D"/>
    <w:rsid w:val="008C6EFF"/>
    <w:rsid w:val="008C759F"/>
    <w:rsid w:val="008C76B4"/>
    <w:rsid w:val="008D020F"/>
    <w:rsid w:val="008D0690"/>
    <w:rsid w:val="008D0A41"/>
    <w:rsid w:val="008D16FE"/>
    <w:rsid w:val="008D218E"/>
    <w:rsid w:val="008D281A"/>
    <w:rsid w:val="008D2ADA"/>
    <w:rsid w:val="008D2DAE"/>
    <w:rsid w:val="008D3C54"/>
    <w:rsid w:val="008D400E"/>
    <w:rsid w:val="008D417C"/>
    <w:rsid w:val="008D443C"/>
    <w:rsid w:val="008D465B"/>
    <w:rsid w:val="008D6990"/>
    <w:rsid w:val="008E0A56"/>
    <w:rsid w:val="008E11A0"/>
    <w:rsid w:val="008E3452"/>
    <w:rsid w:val="008E3CF1"/>
    <w:rsid w:val="008E42C2"/>
    <w:rsid w:val="008E480E"/>
    <w:rsid w:val="008E5000"/>
    <w:rsid w:val="008E60B5"/>
    <w:rsid w:val="008E62C8"/>
    <w:rsid w:val="008E6BFB"/>
    <w:rsid w:val="008E6F0A"/>
    <w:rsid w:val="008E7E37"/>
    <w:rsid w:val="008F08FD"/>
    <w:rsid w:val="008F20B5"/>
    <w:rsid w:val="008F2C73"/>
    <w:rsid w:val="008F2EE0"/>
    <w:rsid w:val="008F4338"/>
    <w:rsid w:val="008F5481"/>
    <w:rsid w:val="008F5BFE"/>
    <w:rsid w:val="008F7BE3"/>
    <w:rsid w:val="008F7DC3"/>
    <w:rsid w:val="008F7E8A"/>
    <w:rsid w:val="009006B1"/>
    <w:rsid w:val="00901F22"/>
    <w:rsid w:val="00902D41"/>
    <w:rsid w:val="00903156"/>
    <w:rsid w:val="009035DF"/>
    <w:rsid w:val="00903A9E"/>
    <w:rsid w:val="00903B1E"/>
    <w:rsid w:val="00903C36"/>
    <w:rsid w:val="00903FC6"/>
    <w:rsid w:val="00904378"/>
    <w:rsid w:val="009043EF"/>
    <w:rsid w:val="00904992"/>
    <w:rsid w:val="00905047"/>
    <w:rsid w:val="009068AC"/>
    <w:rsid w:val="009070BE"/>
    <w:rsid w:val="009071FE"/>
    <w:rsid w:val="00910AE0"/>
    <w:rsid w:val="00910CA7"/>
    <w:rsid w:val="009111B0"/>
    <w:rsid w:val="00912B7F"/>
    <w:rsid w:val="00913522"/>
    <w:rsid w:val="0091465A"/>
    <w:rsid w:val="00914816"/>
    <w:rsid w:val="00915676"/>
    <w:rsid w:val="009165DB"/>
    <w:rsid w:val="00917176"/>
    <w:rsid w:val="009174C0"/>
    <w:rsid w:val="00917EF9"/>
    <w:rsid w:val="0092041D"/>
    <w:rsid w:val="00920492"/>
    <w:rsid w:val="009206FD"/>
    <w:rsid w:val="00920E6D"/>
    <w:rsid w:val="009212D5"/>
    <w:rsid w:val="009213A3"/>
    <w:rsid w:val="0092142E"/>
    <w:rsid w:val="009224C1"/>
    <w:rsid w:val="0092261D"/>
    <w:rsid w:val="009230D5"/>
    <w:rsid w:val="009233C7"/>
    <w:rsid w:val="0092405E"/>
    <w:rsid w:val="00924580"/>
    <w:rsid w:val="00925A4B"/>
    <w:rsid w:val="00926007"/>
    <w:rsid w:val="009265B2"/>
    <w:rsid w:val="00926E84"/>
    <w:rsid w:val="00926F39"/>
    <w:rsid w:val="00927FC9"/>
    <w:rsid w:val="00930210"/>
    <w:rsid w:val="0093062D"/>
    <w:rsid w:val="009307B6"/>
    <w:rsid w:val="00930E29"/>
    <w:rsid w:val="009328C5"/>
    <w:rsid w:val="00932AC6"/>
    <w:rsid w:val="009332E5"/>
    <w:rsid w:val="00934900"/>
    <w:rsid w:val="00934DFB"/>
    <w:rsid w:val="009372E2"/>
    <w:rsid w:val="00937772"/>
    <w:rsid w:val="00937927"/>
    <w:rsid w:val="00937CBA"/>
    <w:rsid w:val="0094101D"/>
    <w:rsid w:val="0094132E"/>
    <w:rsid w:val="00941D53"/>
    <w:rsid w:val="0094251E"/>
    <w:rsid w:val="009429F1"/>
    <w:rsid w:val="00942D48"/>
    <w:rsid w:val="0094354A"/>
    <w:rsid w:val="00943ACE"/>
    <w:rsid w:val="00943F74"/>
    <w:rsid w:val="0094456E"/>
    <w:rsid w:val="00944DB9"/>
    <w:rsid w:val="00945019"/>
    <w:rsid w:val="00945800"/>
    <w:rsid w:val="00945FDB"/>
    <w:rsid w:val="00946A70"/>
    <w:rsid w:val="00950610"/>
    <w:rsid w:val="00950BD0"/>
    <w:rsid w:val="00951143"/>
    <w:rsid w:val="009518F3"/>
    <w:rsid w:val="00951FCE"/>
    <w:rsid w:val="0095201B"/>
    <w:rsid w:val="00953605"/>
    <w:rsid w:val="00955333"/>
    <w:rsid w:val="009553AD"/>
    <w:rsid w:val="009568B6"/>
    <w:rsid w:val="00957574"/>
    <w:rsid w:val="00957E5E"/>
    <w:rsid w:val="0096070C"/>
    <w:rsid w:val="00960D4C"/>
    <w:rsid w:val="00961480"/>
    <w:rsid w:val="00961BD4"/>
    <w:rsid w:val="00962108"/>
    <w:rsid w:val="0096274B"/>
    <w:rsid w:val="00963E62"/>
    <w:rsid w:val="00964484"/>
    <w:rsid w:val="00964D28"/>
    <w:rsid w:val="009661FF"/>
    <w:rsid w:val="00966A06"/>
    <w:rsid w:val="009671DB"/>
    <w:rsid w:val="00967213"/>
    <w:rsid w:val="00967510"/>
    <w:rsid w:val="00967E02"/>
    <w:rsid w:val="009703A2"/>
    <w:rsid w:val="00970CE5"/>
    <w:rsid w:val="00970F33"/>
    <w:rsid w:val="00970FE7"/>
    <w:rsid w:val="00971C84"/>
    <w:rsid w:val="00972362"/>
    <w:rsid w:val="009723D4"/>
    <w:rsid w:val="00973249"/>
    <w:rsid w:val="009747AD"/>
    <w:rsid w:val="00974996"/>
    <w:rsid w:val="009759AB"/>
    <w:rsid w:val="00976253"/>
    <w:rsid w:val="00981852"/>
    <w:rsid w:val="00981AEE"/>
    <w:rsid w:val="00981E76"/>
    <w:rsid w:val="0098377B"/>
    <w:rsid w:val="00983DF4"/>
    <w:rsid w:val="0098427F"/>
    <w:rsid w:val="009848F2"/>
    <w:rsid w:val="009857A2"/>
    <w:rsid w:val="00986536"/>
    <w:rsid w:val="00987761"/>
    <w:rsid w:val="0099046F"/>
    <w:rsid w:val="00990BBA"/>
    <w:rsid w:val="00990E79"/>
    <w:rsid w:val="00991022"/>
    <w:rsid w:val="009915F5"/>
    <w:rsid w:val="00992381"/>
    <w:rsid w:val="009923E4"/>
    <w:rsid w:val="009928A9"/>
    <w:rsid w:val="00993932"/>
    <w:rsid w:val="00994A62"/>
    <w:rsid w:val="00994F0A"/>
    <w:rsid w:val="00996C8C"/>
    <w:rsid w:val="00997F44"/>
    <w:rsid w:val="009A0707"/>
    <w:rsid w:val="009A0AFD"/>
    <w:rsid w:val="009A2861"/>
    <w:rsid w:val="009A2DE9"/>
    <w:rsid w:val="009A306C"/>
    <w:rsid w:val="009A39F8"/>
    <w:rsid w:val="009A3BE2"/>
    <w:rsid w:val="009A4A10"/>
    <w:rsid w:val="009A4A90"/>
    <w:rsid w:val="009A663E"/>
    <w:rsid w:val="009A67C0"/>
    <w:rsid w:val="009A6C34"/>
    <w:rsid w:val="009A7168"/>
    <w:rsid w:val="009A7798"/>
    <w:rsid w:val="009B11F4"/>
    <w:rsid w:val="009B18FD"/>
    <w:rsid w:val="009B1F19"/>
    <w:rsid w:val="009B1F2E"/>
    <w:rsid w:val="009B227C"/>
    <w:rsid w:val="009B2784"/>
    <w:rsid w:val="009B4C4F"/>
    <w:rsid w:val="009B6B39"/>
    <w:rsid w:val="009C0394"/>
    <w:rsid w:val="009C0764"/>
    <w:rsid w:val="009C109F"/>
    <w:rsid w:val="009C15C6"/>
    <w:rsid w:val="009C21E8"/>
    <w:rsid w:val="009C2446"/>
    <w:rsid w:val="009C24E0"/>
    <w:rsid w:val="009C25A7"/>
    <w:rsid w:val="009C2F52"/>
    <w:rsid w:val="009C3111"/>
    <w:rsid w:val="009C3B59"/>
    <w:rsid w:val="009C3BF4"/>
    <w:rsid w:val="009C4507"/>
    <w:rsid w:val="009C4A24"/>
    <w:rsid w:val="009C4BE3"/>
    <w:rsid w:val="009C4EA2"/>
    <w:rsid w:val="009C4F9C"/>
    <w:rsid w:val="009C5DB4"/>
    <w:rsid w:val="009C66E8"/>
    <w:rsid w:val="009C73A2"/>
    <w:rsid w:val="009C791E"/>
    <w:rsid w:val="009C7AFF"/>
    <w:rsid w:val="009D01F2"/>
    <w:rsid w:val="009D07D6"/>
    <w:rsid w:val="009D0DF3"/>
    <w:rsid w:val="009D0E36"/>
    <w:rsid w:val="009D0FE8"/>
    <w:rsid w:val="009D1B74"/>
    <w:rsid w:val="009D1BDA"/>
    <w:rsid w:val="009D336A"/>
    <w:rsid w:val="009D46FA"/>
    <w:rsid w:val="009D5339"/>
    <w:rsid w:val="009D57C4"/>
    <w:rsid w:val="009D5D60"/>
    <w:rsid w:val="009D5F14"/>
    <w:rsid w:val="009D626E"/>
    <w:rsid w:val="009D753D"/>
    <w:rsid w:val="009E0B17"/>
    <w:rsid w:val="009E0D7D"/>
    <w:rsid w:val="009E0EB0"/>
    <w:rsid w:val="009E16DB"/>
    <w:rsid w:val="009E17F9"/>
    <w:rsid w:val="009E1B74"/>
    <w:rsid w:val="009E2374"/>
    <w:rsid w:val="009E282F"/>
    <w:rsid w:val="009E2C71"/>
    <w:rsid w:val="009E2FEE"/>
    <w:rsid w:val="009E3192"/>
    <w:rsid w:val="009E3336"/>
    <w:rsid w:val="009E346C"/>
    <w:rsid w:val="009E37B7"/>
    <w:rsid w:val="009E3C02"/>
    <w:rsid w:val="009E3E0F"/>
    <w:rsid w:val="009E4462"/>
    <w:rsid w:val="009E449E"/>
    <w:rsid w:val="009E51F5"/>
    <w:rsid w:val="009E54DC"/>
    <w:rsid w:val="009E6829"/>
    <w:rsid w:val="009E6C2F"/>
    <w:rsid w:val="009E7ACD"/>
    <w:rsid w:val="009F0407"/>
    <w:rsid w:val="009F0A14"/>
    <w:rsid w:val="009F1A6F"/>
    <w:rsid w:val="009F211C"/>
    <w:rsid w:val="009F2325"/>
    <w:rsid w:val="009F23C3"/>
    <w:rsid w:val="009F3EBC"/>
    <w:rsid w:val="009F4168"/>
    <w:rsid w:val="009F42BB"/>
    <w:rsid w:val="009F5C41"/>
    <w:rsid w:val="009F6A4B"/>
    <w:rsid w:val="009F71AE"/>
    <w:rsid w:val="009F79C0"/>
    <w:rsid w:val="00A001F8"/>
    <w:rsid w:val="00A00417"/>
    <w:rsid w:val="00A00CD1"/>
    <w:rsid w:val="00A02365"/>
    <w:rsid w:val="00A02C48"/>
    <w:rsid w:val="00A049ED"/>
    <w:rsid w:val="00A04BCC"/>
    <w:rsid w:val="00A04D66"/>
    <w:rsid w:val="00A05A64"/>
    <w:rsid w:val="00A05E36"/>
    <w:rsid w:val="00A0677D"/>
    <w:rsid w:val="00A06E04"/>
    <w:rsid w:val="00A07287"/>
    <w:rsid w:val="00A07631"/>
    <w:rsid w:val="00A07D39"/>
    <w:rsid w:val="00A12607"/>
    <w:rsid w:val="00A12895"/>
    <w:rsid w:val="00A133EC"/>
    <w:rsid w:val="00A13986"/>
    <w:rsid w:val="00A14858"/>
    <w:rsid w:val="00A14FCA"/>
    <w:rsid w:val="00A15722"/>
    <w:rsid w:val="00A15AC9"/>
    <w:rsid w:val="00A15EF2"/>
    <w:rsid w:val="00A1636B"/>
    <w:rsid w:val="00A163B6"/>
    <w:rsid w:val="00A17334"/>
    <w:rsid w:val="00A173F4"/>
    <w:rsid w:val="00A1777A"/>
    <w:rsid w:val="00A17ECF"/>
    <w:rsid w:val="00A20891"/>
    <w:rsid w:val="00A21CFF"/>
    <w:rsid w:val="00A222B8"/>
    <w:rsid w:val="00A2314A"/>
    <w:rsid w:val="00A232F1"/>
    <w:rsid w:val="00A2389C"/>
    <w:rsid w:val="00A2558D"/>
    <w:rsid w:val="00A25B3F"/>
    <w:rsid w:val="00A25CCF"/>
    <w:rsid w:val="00A25E3C"/>
    <w:rsid w:val="00A25F7F"/>
    <w:rsid w:val="00A25F90"/>
    <w:rsid w:val="00A26CF2"/>
    <w:rsid w:val="00A26E89"/>
    <w:rsid w:val="00A271C8"/>
    <w:rsid w:val="00A316EF"/>
    <w:rsid w:val="00A31777"/>
    <w:rsid w:val="00A3182A"/>
    <w:rsid w:val="00A31E45"/>
    <w:rsid w:val="00A32458"/>
    <w:rsid w:val="00A33610"/>
    <w:rsid w:val="00A33802"/>
    <w:rsid w:val="00A338EA"/>
    <w:rsid w:val="00A33DC3"/>
    <w:rsid w:val="00A33F50"/>
    <w:rsid w:val="00A34B12"/>
    <w:rsid w:val="00A3622F"/>
    <w:rsid w:val="00A36F76"/>
    <w:rsid w:val="00A3718D"/>
    <w:rsid w:val="00A3764B"/>
    <w:rsid w:val="00A41110"/>
    <w:rsid w:val="00A41384"/>
    <w:rsid w:val="00A4194D"/>
    <w:rsid w:val="00A41DC6"/>
    <w:rsid w:val="00A4312F"/>
    <w:rsid w:val="00A43162"/>
    <w:rsid w:val="00A435FA"/>
    <w:rsid w:val="00A43F4E"/>
    <w:rsid w:val="00A4447C"/>
    <w:rsid w:val="00A44C33"/>
    <w:rsid w:val="00A456B3"/>
    <w:rsid w:val="00A46136"/>
    <w:rsid w:val="00A46397"/>
    <w:rsid w:val="00A4640E"/>
    <w:rsid w:val="00A47BF3"/>
    <w:rsid w:val="00A506E0"/>
    <w:rsid w:val="00A51301"/>
    <w:rsid w:val="00A516A4"/>
    <w:rsid w:val="00A533C3"/>
    <w:rsid w:val="00A5446B"/>
    <w:rsid w:val="00A54EE9"/>
    <w:rsid w:val="00A551E8"/>
    <w:rsid w:val="00A55BD6"/>
    <w:rsid w:val="00A55CE0"/>
    <w:rsid w:val="00A56196"/>
    <w:rsid w:val="00A562AC"/>
    <w:rsid w:val="00A5667A"/>
    <w:rsid w:val="00A56889"/>
    <w:rsid w:val="00A56D66"/>
    <w:rsid w:val="00A57593"/>
    <w:rsid w:val="00A57AE0"/>
    <w:rsid w:val="00A61503"/>
    <w:rsid w:val="00A6171D"/>
    <w:rsid w:val="00A6177D"/>
    <w:rsid w:val="00A61998"/>
    <w:rsid w:val="00A61CAC"/>
    <w:rsid w:val="00A640D2"/>
    <w:rsid w:val="00A64144"/>
    <w:rsid w:val="00A6453E"/>
    <w:rsid w:val="00A647BE"/>
    <w:rsid w:val="00A6487F"/>
    <w:rsid w:val="00A64BA7"/>
    <w:rsid w:val="00A64DEE"/>
    <w:rsid w:val="00A65FF9"/>
    <w:rsid w:val="00A664D1"/>
    <w:rsid w:val="00A66DC3"/>
    <w:rsid w:val="00A6788A"/>
    <w:rsid w:val="00A67E9A"/>
    <w:rsid w:val="00A67EB5"/>
    <w:rsid w:val="00A70381"/>
    <w:rsid w:val="00A703B7"/>
    <w:rsid w:val="00A707D9"/>
    <w:rsid w:val="00A70DB6"/>
    <w:rsid w:val="00A71135"/>
    <w:rsid w:val="00A71A77"/>
    <w:rsid w:val="00A72277"/>
    <w:rsid w:val="00A72620"/>
    <w:rsid w:val="00A7284B"/>
    <w:rsid w:val="00A72D2A"/>
    <w:rsid w:val="00A730FB"/>
    <w:rsid w:val="00A73A0D"/>
    <w:rsid w:val="00A747AF"/>
    <w:rsid w:val="00A7496C"/>
    <w:rsid w:val="00A74D60"/>
    <w:rsid w:val="00A75B0C"/>
    <w:rsid w:val="00A75C36"/>
    <w:rsid w:val="00A7795E"/>
    <w:rsid w:val="00A77BFD"/>
    <w:rsid w:val="00A80463"/>
    <w:rsid w:val="00A80B5F"/>
    <w:rsid w:val="00A81709"/>
    <w:rsid w:val="00A82278"/>
    <w:rsid w:val="00A834DD"/>
    <w:rsid w:val="00A8486F"/>
    <w:rsid w:val="00A84AC9"/>
    <w:rsid w:val="00A85A10"/>
    <w:rsid w:val="00A86117"/>
    <w:rsid w:val="00A86340"/>
    <w:rsid w:val="00A864EF"/>
    <w:rsid w:val="00A87108"/>
    <w:rsid w:val="00A87705"/>
    <w:rsid w:val="00A91343"/>
    <w:rsid w:val="00A91855"/>
    <w:rsid w:val="00A9244E"/>
    <w:rsid w:val="00A92FB2"/>
    <w:rsid w:val="00A931C3"/>
    <w:rsid w:val="00A93476"/>
    <w:rsid w:val="00A957D1"/>
    <w:rsid w:val="00A96AC0"/>
    <w:rsid w:val="00A96E49"/>
    <w:rsid w:val="00A97990"/>
    <w:rsid w:val="00AA04DA"/>
    <w:rsid w:val="00AA05CF"/>
    <w:rsid w:val="00AA25CF"/>
    <w:rsid w:val="00AA2C83"/>
    <w:rsid w:val="00AA2E3C"/>
    <w:rsid w:val="00AA2E3E"/>
    <w:rsid w:val="00AA3E40"/>
    <w:rsid w:val="00AA3E75"/>
    <w:rsid w:val="00AA3F89"/>
    <w:rsid w:val="00AA3FCC"/>
    <w:rsid w:val="00AA4DC4"/>
    <w:rsid w:val="00AA536A"/>
    <w:rsid w:val="00AA5522"/>
    <w:rsid w:val="00AA5C83"/>
    <w:rsid w:val="00AA60C3"/>
    <w:rsid w:val="00AA6146"/>
    <w:rsid w:val="00AA6235"/>
    <w:rsid w:val="00AA636B"/>
    <w:rsid w:val="00AA6691"/>
    <w:rsid w:val="00AA6BF2"/>
    <w:rsid w:val="00AA76D8"/>
    <w:rsid w:val="00AA7C0D"/>
    <w:rsid w:val="00AB02F0"/>
    <w:rsid w:val="00AB1132"/>
    <w:rsid w:val="00AB2C5B"/>
    <w:rsid w:val="00AB4751"/>
    <w:rsid w:val="00AB4FE2"/>
    <w:rsid w:val="00AB6556"/>
    <w:rsid w:val="00AB6760"/>
    <w:rsid w:val="00AB731D"/>
    <w:rsid w:val="00AB7D97"/>
    <w:rsid w:val="00AC1A36"/>
    <w:rsid w:val="00AC1B6B"/>
    <w:rsid w:val="00AC1BAF"/>
    <w:rsid w:val="00AC2661"/>
    <w:rsid w:val="00AC2FB4"/>
    <w:rsid w:val="00AC2FCD"/>
    <w:rsid w:val="00AC3196"/>
    <w:rsid w:val="00AC36E9"/>
    <w:rsid w:val="00AC3C0C"/>
    <w:rsid w:val="00AC406B"/>
    <w:rsid w:val="00AC4381"/>
    <w:rsid w:val="00AC5EFF"/>
    <w:rsid w:val="00AC6723"/>
    <w:rsid w:val="00AD00A4"/>
    <w:rsid w:val="00AD097E"/>
    <w:rsid w:val="00AD1129"/>
    <w:rsid w:val="00AD171D"/>
    <w:rsid w:val="00AD1C0B"/>
    <w:rsid w:val="00AD1CC3"/>
    <w:rsid w:val="00AD2029"/>
    <w:rsid w:val="00AD2398"/>
    <w:rsid w:val="00AD23C1"/>
    <w:rsid w:val="00AD2472"/>
    <w:rsid w:val="00AD247D"/>
    <w:rsid w:val="00AD252F"/>
    <w:rsid w:val="00AD2D52"/>
    <w:rsid w:val="00AD33DD"/>
    <w:rsid w:val="00AD3CB6"/>
    <w:rsid w:val="00AD5761"/>
    <w:rsid w:val="00AD6CF2"/>
    <w:rsid w:val="00AE00D0"/>
    <w:rsid w:val="00AE0407"/>
    <w:rsid w:val="00AE0B36"/>
    <w:rsid w:val="00AE1EB7"/>
    <w:rsid w:val="00AE2A13"/>
    <w:rsid w:val="00AE41F0"/>
    <w:rsid w:val="00AE4BDE"/>
    <w:rsid w:val="00AE4DBC"/>
    <w:rsid w:val="00AE5A34"/>
    <w:rsid w:val="00AE5DBF"/>
    <w:rsid w:val="00AE6051"/>
    <w:rsid w:val="00AE682C"/>
    <w:rsid w:val="00AE6D81"/>
    <w:rsid w:val="00AE7FC0"/>
    <w:rsid w:val="00AF0321"/>
    <w:rsid w:val="00AF03EF"/>
    <w:rsid w:val="00AF0BCC"/>
    <w:rsid w:val="00AF176E"/>
    <w:rsid w:val="00AF2099"/>
    <w:rsid w:val="00AF5E8A"/>
    <w:rsid w:val="00AF663C"/>
    <w:rsid w:val="00AF6690"/>
    <w:rsid w:val="00AF66F2"/>
    <w:rsid w:val="00B007C9"/>
    <w:rsid w:val="00B00D32"/>
    <w:rsid w:val="00B011C1"/>
    <w:rsid w:val="00B02083"/>
    <w:rsid w:val="00B0244E"/>
    <w:rsid w:val="00B029E5"/>
    <w:rsid w:val="00B032A2"/>
    <w:rsid w:val="00B03B66"/>
    <w:rsid w:val="00B04A25"/>
    <w:rsid w:val="00B063A9"/>
    <w:rsid w:val="00B06D2C"/>
    <w:rsid w:val="00B07409"/>
    <w:rsid w:val="00B07508"/>
    <w:rsid w:val="00B0752F"/>
    <w:rsid w:val="00B0765F"/>
    <w:rsid w:val="00B1031E"/>
    <w:rsid w:val="00B10F14"/>
    <w:rsid w:val="00B1194E"/>
    <w:rsid w:val="00B11DE0"/>
    <w:rsid w:val="00B129D4"/>
    <w:rsid w:val="00B15636"/>
    <w:rsid w:val="00B159AE"/>
    <w:rsid w:val="00B16047"/>
    <w:rsid w:val="00B1665A"/>
    <w:rsid w:val="00B16AF1"/>
    <w:rsid w:val="00B16C37"/>
    <w:rsid w:val="00B1765D"/>
    <w:rsid w:val="00B17B28"/>
    <w:rsid w:val="00B20287"/>
    <w:rsid w:val="00B20861"/>
    <w:rsid w:val="00B2180C"/>
    <w:rsid w:val="00B22020"/>
    <w:rsid w:val="00B227C8"/>
    <w:rsid w:val="00B22EB2"/>
    <w:rsid w:val="00B23050"/>
    <w:rsid w:val="00B234CC"/>
    <w:rsid w:val="00B24145"/>
    <w:rsid w:val="00B24971"/>
    <w:rsid w:val="00B24DB2"/>
    <w:rsid w:val="00B24F7E"/>
    <w:rsid w:val="00B25445"/>
    <w:rsid w:val="00B2625B"/>
    <w:rsid w:val="00B26C46"/>
    <w:rsid w:val="00B2706E"/>
    <w:rsid w:val="00B27125"/>
    <w:rsid w:val="00B27BAF"/>
    <w:rsid w:val="00B27CC7"/>
    <w:rsid w:val="00B27EC4"/>
    <w:rsid w:val="00B3096B"/>
    <w:rsid w:val="00B314F1"/>
    <w:rsid w:val="00B31518"/>
    <w:rsid w:val="00B31CB5"/>
    <w:rsid w:val="00B32506"/>
    <w:rsid w:val="00B33518"/>
    <w:rsid w:val="00B33B1E"/>
    <w:rsid w:val="00B345F1"/>
    <w:rsid w:val="00B35A76"/>
    <w:rsid w:val="00B3620E"/>
    <w:rsid w:val="00B36A54"/>
    <w:rsid w:val="00B36DB8"/>
    <w:rsid w:val="00B37095"/>
    <w:rsid w:val="00B37196"/>
    <w:rsid w:val="00B40869"/>
    <w:rsid w:val="00B42314"/>
    <w:rsid w:val="00B42AEC"/>
    <w:rsid w:val="00B42D0E"/>
    <w:rsid w:val="00B44806"/>
    <w:rsid w:val="00B44C3E"/>
    <w:rsid w:val="00B453E6"/>
    <w:rsid w:val="00B46018"/>
    <w:rsid w:val="00B471D3"/>
    <w:rsid w:val="00B47AB5"/>
    <w:rsid w:val="00B5005F"/>
    <w:rsid w:val="00B5039F"/>
    <w:rsid w:val="00B510F0"/>
    <w:rsid w:val="00B5200B"/>
    <w:rsid w:val="00B52013"/>
    <w:rsid w:val="00B5205B"/>
    <w:rsid w:val="00B52A8A"/>
    <w:rsid w:val="00B544F2"/>
    <w:rsid w:val="00B5490F"/>
    <w:rsid w:val="00B54CF9"/>
    <w:rsid w:val="00B555F4"/>
    <w:rsid w:val="00B5564A"/>
    <w:rsid w:val="00B563BE"/>
    <w:rsid w:val="00B564C5"/>
    <w:rsid w:val="00B565C0"/>
    <w:rsid w:val="00B567A9"/>
    <w:rsid w:val="00B57410"/>
    <w:rsid w:val="00B60483"/>
    <w:rsid w:val="00B60D2C"/>
    <w:rsid w:val="00B612F6"/>
    <w:rsid w:val="00B625EA"/>
    <w:rsid w:val="00B6364E"/>
    <w:rsid w:val="00B63C40"/>
    <w:rsid w:val="00B643F4"/>
    <w:rsid w:val="00B65B9A"/>
    <w:rsid w:val="00B65D8C"/>
    <w:rsid w:val="00B660D9"/>
    <w:rsid w:val="00B66266"/>
    <w:rsid w:val="00B669FB"/>
    <w:rsid w:val="00B66A66"/>
    <w:rsid w:val="00B67226"/>
    <w:rsid w:val="00B6781A"/>
    <w:rsid w:val="00B67F59"/>
    <w:rsid w:val="00B70413"/>
    <w:rsid w:val="00B70565"/>
    <w:rsid w:val="00B70A6F"/>
    <w:rsid w:val="00B70EA5"/>
    <w:rsid w:val="00B71013"/>
    <w:rsid w:val="00B71026"/>
    <w:rsid w:val="00B71906"/>
    <w:rsid w:val="00B71BA3"/>
    <w:rsid w:val="00B736D3"/>
    <w:rsid w:val="00B7397A"/>
    <w:rsid w:val="00B73FE7"/>
    <w:rsid w:val="00B74390"/>
    <w:rsid w:val="00B743B5"/>
    <w:rsid w:val="00B75328"/>
    <w:rsid w:val="00B75A37"/>
    <w:rsid w:val="00B761E2"/>
    <w:rsid w:val="00B7665B"/>
    <w:rsid w:val="00B77120"/>
    <w:rsid w:val="00B77427"/>
    <w:rsid w:val="00B80633"/>
    <w:rsid w:val="00B8072C"/>
    <w:rsid w:val="00B82369"/>
    <w:rsid w:val="00B8336D"/>
    <w:rsid w:val="00B83A18"/>
    <w:rsid w:val="00B83CCB"/>
    <w:rsid w:val="00B83E56"/>
    <w:rsid w:val="00B871D2"/>
    <w:rsid w:val="00B876C2"/>
    <w:rsid w:val="00B879BD"/>
    <w:rsid w:val="00B87C1A"/>
    <w:rsid w:val="00B87D07"/>
    <w:rsid w:val="00B87FA4"/>
    <w:rsid w:val="00B909AC"/>
    <w:rsid w:val="00B90F43"/>
    <w:rsid w:val="00B9152D"/>
    <w:rsid w:val="00B91D63"/>
    <w:rsid w:val="00B91F6B"/>
    <w:rsid w:val="00B91F8B"/>
    <w:rsid w:val="00B92095"/>
    <w:rsid w:val="00B92655"/>
    <w:rsid w:val="00B927F2"/>
    <w:rsid w:val="00B92CD9"/>
    <w:rsid w:val="00B93109"/>
    <w:rsid w:val="00B93337"/>
    <w:rsid w:val="00B93A51"/>
    <w:rsid w:val="00B93CE4"/>
    <w:rsid w:val="00B93FB6"/>
    <w:rsid w:val="00B94167"/>
    <w:rsid w:val="00B94AC0"/>
    <w:rsid w:val="00B94C97"/>
    <w:rsid w:val="00B9586A"/>
    <w:rsid w:val="00B96572"/>
    <w:rsid w:val="00B96576"/>
    <w:rsid w:val="00B96FDB"/>
    <w:rsid w:val="00B97D93"/>
    <w:rsid w:val="00BA0133"/>
    <w:rsid w:val="00BA0B88"/>
    <w:rsid w:val="00BA0CAD"/>
    <w:rsid w:val="00BA0E49"/>
    <w:rsid w:val="00BA126E"/>
    <w:rsid w:val="00BA1893"/>
    <w:rsid w:val="00BA566B"/>
    <w:rsid w:val="00BA63C9"/>
    <w:rsid w:val="00BA69F2"/>
    <w:rsid w:val="00BA6D90"/>
    <w:rsid w:val="00BA715A"/>
    <w:rsid w:val="00BA7637"/>
    <w:rsid w:val="00BA78F5"/>
    <w:rsid w:val="00BA7CB7"/>
    <w:rsid w:val="00BB1BFC"/>
    <w:rsid w:val="00BB25A9"/>
    <w:rsid w:val="00BB2773"/>
    <w:rsid w:val="00BB2F0A"/>
    <w:rsid w:val="00BB386F"/>
    <w:rsid w:val="00BB3B3D"/>
    <w:rsid w:val="00BB4045"/>
    <w:rsid w:val="00BB4930"/>
    <w:rsid w:val="00BB57A9"/>
    <w:rsid w:val="00BB6671"/>
    <w:rsid w:val="00BB6C4A"/>
    <w:rsid w:val="00BB6C9C"/>
    <w:rsid w:val="00BB7A92"/>
    <w:rsid w:val="00BC004F"/>
    <w:rsid w:val="00BC0C35"/>
    <w:rsid w:val="00BC14ED"/>
    <w:rsid w:val="00BC17BE"/>
    <w:rsid w:val="00BC1CBA"/>
    <w:rsid w:val="00BC1DE0"/>
    <w:rsid w:val="00BC1FF2"/>
    <w:rsid w:val="00BC2021"/>
    <w:rsid w:val="00BC26B5"/>
    <w:rsid w:val="00BC29CA"/>
    <w:rsid w:val="00BC3D4B"/>
    <w:rsid w:val="00BC42A5"/>
    <w:rsid w:val="00BC4D25"/>
    <w:rsid w:val="00BC6018"/>
    <w:rsid w:val="00BC68B9"/>
    <w:rsid w:val="00BC793E"/>
    <w:rsid w:val="00BC7FBA"/>
    <w:rsid w:val="00BD01C3"/>
    <w:rsid w:val="00BD0FCB"/>
    <w:rsid w:val="00BD1CFE"/>
    <w:rsid w:val="00BD2A42"/>
    <w:rsid w:val="00BD34E2"/>
    <w:rsid w:val="00BD37BE"/>
    <w:rsid w:val="00BD3F3E"/>
    <w:rsid w:val="00BD453F"/>
    <w:rsid w:val="00BD46E0"/>
    <w:rsid w:val="00BD591F"/>
    <w:rsid w:val="00BD5F72"/>
    <w:rsid w:val="00BD61F9"/>
    <w:rsid w:val="00BE06BD"/>
    <w:rsid w:val="00BE08D1"/>
    <w:rsid w:val="00BE1214"/>
    <w:rsid w:val="00BE143D"/>
    <w:rsid w:val="00BE1651"/>
    <w:rsid w:val="00BE1ABB"/>
    <w:rsid w:val="00BE1D77"/>
    <w:rsid w:val="00BE2198"/>
    <w:rsid w:val="00BE2809"/>
    <w:rsid w:val="00BE305D"/>
    <w:rsid w:val="00BE39FA"/>
    <w:rsid w:val="00BE3FF2"/>
    <w:rsid w:val="00BE4227"/>
    <w:rsid w:val="00BE4580"/>
    <w:rsid w:val="00BE57D6"/>
    <w:rsid w:val="00BE6434"/>
    <w:rsid w:val="00BE691C"/>
    <w:rsid w:val="00BE7979"/>
    <w:rsid w:val="00BE7ADD"/>
    <w:rsid w:val="00BF00E9"/>
    <w:rsid w:val="00BF02BC"/>
    <w:rsid w:val="00BF048D"/>
    <w:rsid w:val="00BF06C9"/>
    <w:rsid w:val="00BF0F30"/>
    <w:rsid w:val="00BF26D8"/>
    <w:rsid w:val="00BF2D79"/>
    <w:rsid w:val="00BF3670"/>
    <w:rsid w:val="00BF3DEB"/>
    <w:rsid w:val="00BF40EA"/>
    <w:rsid w:val="00BF427C"/>
    <w:rsid w:val="00BF449E"/>
    <w:rsid w:val="00BF5DEB"/>
    <w:rsid w:val="00BF6D17"/>
    <w:rsid w:val="00BF782C"/>
    <w:rsid w:val="00C0010C"/>
    <w:rsid w:val="00C002D2"/>
    <w:rsid w:val="00C00337"/>
    <w:rsid w:val="00C00502"/>
    <w:rsid w:val="00C0085B"/>
    <w:rsid w:val="00C009A9"/>
    <w:rsid w:val="00C00ABB"/>
    <w:rsid w:val="00C01478"/>
    <w:rsid w:val="00C0257E"/>
    <w:rsid w:val="00C029DA"/>
    <w:rsid w:val="00C03106"/>
    <w:rsid w:val="00C03ECF"/>
    <w:rsid w:val="00C06173"/>
    <w:rsid w:val="00C0665D"/>
    <w:rsid w:val="00C06915"/>
    <w:rsid w:val="00C06D03"/>
    <w:rsid w:val="00C07409"/>
    <w:rsid w:val="00C07C06"/>
    <w:rsid w:val="00C10027"/>
    <w:rsid w:val="00C108A0"/>
    <w:rsid w:val="00C113CE"/>
    <w:rsid w:val="00C1179A"/>
    <w:rsid w:val="00C11901"/>
    <w:rsid w:val="00C11974"/>
    <w:rsid w:val="00C11E77"/>
    <w:rsid w:val="00C126ED"/>
    <w:rsid w:val="00C13738"/>
    <w:rsid w:val="00C14DEE"/>
    <w:rsid w:val="00C1597D"/>
    <w:rsid w:val="00C1655B"/>
    <w:rsid w:val="00C173D9"/>
    <w:rsid w:val="00C17CEA"/>
    <w:rsid w:val="00C20591"/>
    <w:rsid w:val="00C2074B"/>
    <w:rsid w:val="00C21121"/>
    <w:rsid w:val="00C21CE2"/>
    <w:rsid w:val="00C21F2E"/>
    <w:rsid w:val="00C23ACA"/>
    <w:rsid w:val="00C25873"/>
    <w:rsid w:val="00C25D2B"/>
    <w:rsid w:val="00C260E8"/>
    <w:rsid w:val="00C261AB"/>
    <w:rsid w:val="00C2671F"/>
    <w:rsid w:val="00C26CE0"/>
    <w:rsid w:val="00C27B2E"/>
    <w:rsid w:val="00C27DA6"/>
    <w:rsid w:val="00C305AD"/>
    <w:rsid w:val="00C307E3"/>
    <w:rsid w:val="00C30BCD"/>
    <w:rsid w:val="00C314B9"/>
    <w:rsid w:val="00C32D12"/>
    <w:rsid w:val="00C335D0"/>
    <w:rsid w:val="00C337A4"/>
    <w:rsid w:val="00C34A4D"/>
    <w:rsid w:val="00C37A94"/>
    <w:rsid w:val="00C4081E"/>
    <w:rsid w:val="00C4090F"/>
    <w:rsid w:val="00C40AAD"/>
    <w:rsid w:val="00C443C6"/>
    <w:rsid w:val="00C44485"/>
    <w:rsid w:val="00C447D6"/>
    <w:rsid w:val="00C45234"/>
    <w:rsid w:val="00C47F32"/>
    <w:rsid w:val="00C501D4"/>
    <w:rsid w:val="00C516CD"/>
    <w:rsid w:val="00C51805"/>
    <w:rsid w:val="00C518F0"/>
    <w:rsid w:val="00C51D46"/>
    <w:rsid w:val="00C52286"/>
    <w:rsid w:val="00C53BD3"/>
    <w:rsid w:val="00C5436F"/>
    <w:rsid w:val="00C5437D"/>
    <w:rsid w:val="00C545D7"/>
    <w:rsid w:val="00C5464A"/>
    <w:rsid w:val="00C55848"/>
    <w:rsid w:val="00C55E45"/>
    <w:rsid w:val="00C563C3"/>
    <w:rsid w:val="00C56890"/>
    <w:rsid w:val="00C57691"/>
    <w:rsid w:val="00C60DD1"/>
    <w:rsid w:val="00C60F7D"/>
    <w:rsid w:val="00C61150"/>
    <w:rsid w:val="00C62B78"/>
    <w:rsid w:val="00C62EF5"/>
    <w:rsid w:val="00C6308E"/>
    <w:rsid w:val="00C6431A"/>
    <w:rsid w:val="00C6488B"/>
    <w:rsid w:val="00C64BEE"/>
    <w:rsid w:val="00C66C45"/>
    <w:rsid w:val="00C70444"/>
    <w:rsid w:val="00C70688"/>
    <w:rsid w:val="00C70817"/>
    <w:rsid w:val="00C70B4A"/>
    <w:rsid w:val="00C71076"/>
    <w:rsid w:val="00C71470"/>
    <w:rsid w:val="00C71D56"/>
    <w:rsid w:val="00C72AFA"/>
    <w:rsid w:val="00C73085"/>
    <w:rsid w:val="00C738E8"/>
    <w:rsid w:val="00C73C0A"/>
    <w:rsid w:val="00C7540F"/>
    <w:rsid w:val="00C7726C"/>
    <w:rsid w:val="00C772AF"/>
    <w:rsid w:val="00C77782"/>
    <w:rsid w:val="00C77EC6"/>
    <w:rsid w:val="00C801EE"/>
    <w:rsid w:val="00C805D6"/>
    <w:rsid w:val="00C81307"/>
    <w:rsid w:val="00C82734"/>
    <w:rsid w:val="00C829B5"/>
    <w:rsid w:val="00C830A6"/>
    <w:rsid w:val="00C8325E"/>
    <w:rsid w:val="00C8370E"/>
    <w:rsid w:val="00C8398B"/>
    <w:rsid w:val="00C83E83"/>
    <w:rsid w:val="00C84CD5"/>
    <w:rsid w:val="00C84FA8"/>
    <w:rsid w:val="00C853C8"/>
    <w:rsid w:val="00C85DE0"/>
    <w:rsid w:val="00C86923"/>
    <w:rsid w:val="00C86B71"/>
    <w:rsid w:val="00C86D9E"/>
    <w:rsid w:val="00C87048"/>
    <w:rsid w:val="00C90A7B"/>
    <w:rsid w:val="00C91D44"/>
    <w:rsid w:val="00C9253D"/>
    <w:rsid w:val="00C92909"/>
    <w:rsid w:val="00C92FA8"/>
    <w:rsid w:val="00C9454E"/>
    <w:rsid w:val="00C94D22"/>
    <w:rsid w:val="00C94D53"/>
    <w:rsid w:val="00C94F44"/>
    <w:rsid w:val="00C95706"/>
    <w:rsid w:val="00C9592E"/>
    <w:rsid w:val="00C959C3"/>
    <w:rsid w:val="00C95FB9"/>
    <w:rsid w:val="00C961FD"/>
    <w:rsid w:val="00C97755"/>
    <w:rsid w:val="00C977AF"/>
    <w:rsid w:val="00CA027A"/>
    <w:rsid w:val="00CA1461"/>
    <w:rsid w:val="00CA1C9D"/>
    <w:rsid w:val="00CA2984"/>
    <w:rsid w:val="00CA3215"/>
    <w:rsid w:val="00CA3B04"/>
    <w:rsid w:val="00CA4524"/>
    <w:rsid w:val="00CA6077"/>
    <w:rsid w:val="00CA6505"/>
    <w:rsid w:val="00CA6993"/>
    <w:rsid w:val="00CA6C1F"/>
    <w:rsid w:val="00CA6EE0"/>
    <w:rsid w:val="00CA6F59"/>
    <w:rsid w:val="00CA6FAB"/>
    <w:rsid w:val="00CA72C7"/>
    <w:rsid w:val="00CB068F"/>
    <w:rsid w:val="00CB0EFC"/>
    <w:rsid w:val="00CB1FE9"/>
    <w:rsid w:val="00CB434D"/>
    <w:rsid w:val="00CB5F26"/>
    <w:rsid w:val="00CB6521"/>
    <w:rsid w:val="00CB6848"/>
    <w:rsid w:val="00CB70CF"/>
    <w:rsid w:val="00CB7F7F"/>
    <w:rsid w:val="00CB7F9C"/>
    <w:rsid w:val="00CC039A"/>
    <w:rsid w:val="00CC1092"/>
    <w:rsid w:val="00CC10EC"/>
    <w:rsid w:val="00CC1865"/>
    <w:rsid w:val="00CC2507"/>
    <w:rsid w:val="00CC2E3C"/>
    <w:rsid w:val="00CC3188"/>
    <w:rsid w:val="00CC37D7"/>
    <w:rsid w:val="00CC38A5"/>
    <w:rsid w:val="00CC3CEC"/>
    <w:rsid w:val="00CC4583"/>
    <w:rsid w:val="00CC5EF1"/>
    <w:rsid w:val="00CC617F"/>
    <w:rsid w:val="00CC6185"/>
    <w:rsid w:val="00CC6DBF"/>
    <w:rsid w:val="00CC74E8"/>
    <w:rsid w:val="00CC7CFF"/>
    <w:rsid w:val="00CD01C7"/>
    <w:rsid w:val="00CD0A21"/>
    <w:rsid w:val="00CD0C9A"/>
    <w:rsid w:val="00CD13E1"/>
    <w:rsid w:val="00CD1F5F"/>
    <w:rsid w:val="00CD2044"/>
    <w:rsid w:val="00CD28A5"/>
    <w:rsid w:val="00CD2D95"/>
    <w:rsid w:val="00CD3A00"/>
    <w:rsid w:val="00CD3E41"/>
    <w:rsid w:val="00CD499E"/>
    <w:rsid w:val="00CD49B8"/>
    <w:rsid w:val="00CD5398"/>
    <w:rsid w:val="00CD54CD"/>
    <w:rsid w:val="00CD58DF"/>
    <w:rsid w:val="00CD67D6"/>
    <w:rsid w:val="00CD69BB"/>
    <w:rsid w:val="00CD71EE"/>
    <w:rsid w:val="00CD7968"/>
    <w:rsid w:val="00CD7BD8"/>
    <w:rsid w:val="00CE027D"/>
    <w:rsid w:val="00CE08A1"/>
    <w:rsid w:val="00CE20FD"/>
    <w:rsid w:val="00CE217B"/>
    <w:rsid w:val="00CE2692"/>
    <w:rsid w:val="00CE2C08"/>
    <w:rsid w:val="00CE3021"/>
    <w:rsid w:val="00CE3169"/>
    <w:rsid w:val="00CE43A6"/>
    <w:rsid w:val="00CE4CD0"/>
    <w:rsid w:val="00CE5913"/>
    <w:rsid w:val="00CE61B6"/>
    <w:rsid w:val="00CE64D5"/>
    <w:rsid w:val="00CE6C49"/>
    <w:rsid w:val="00CF06AF"/>
    <w:rsid w:val="00CF0ED1"/>
    <w:rsid w:val="00CF13A6"/>
    <w:rsid w:val="00CF1AE0"/>
    <w:rsid w:val="00CF1AE2"/>
    <w:rsid w:val="00CF2205"/>
    <w:rsid w:val="00CF2785"/>
    <w:rsid w:val="00CF2D7B"/>
    <w:rsid w:val="00CF3E44"/>
    <w:rsid w:val="00CF43B8"/>
    <w:rsid w:val="00CF44F1"/>
    <w:rsid w:val="00CF4D75"/>
    <w:rsid w:val="00CF4FB2"/>
    <w:rsid w:val="00CF6330"/>
    <w:rsid w:val="00CF649B"/>
    <w:rsid w:val="00CF763C"/>
    <w:rsid w:val="00D00181"/>
    <w:rsid w:val="00D00699"/>
    <w:rsid w:val="00D008D8"/>
    <w:rsid w:val="00D00B4E"/>
    <w:rsid w:val="00D01383"/>
    <w:rsid w:val="00D01EB5"/>
    <w:rsid w:val="00D01F98"/>
    <w:rsid w:val="00D0220B"/>
    <w:rsid w:val="00D029EC"/>
    <w:rsid w:val="00D02DEF"/>
    <w:rsid w:val="00D03C83"/>
    <w:rsid w:val="00D0413F"/>
    <w:rsid w:val="00D0422F"/>
    <w:rsid w:val="00D044AB"/>
    <w:rsid w:val="00D04785"/>
    <w:rsid w:val="00D04A97"/>
    <w:rsid w:val="00D10584"/>
    <w:rsid w:val="00D1082A"/>
    <w:rsid w:val="00D110D3"/>
    <w:rsid w:val="00D11D17"/>
    <w:rsid w:val="00D127CE"/>
    <w:rsid w:val="00D1385B"/>
    <w:rsid w:val="00D140DF"/>
    <w:rsid w:val="00D14FD9"/>
    <w:rsid w:val="00D15B7F"/>
    <w:rsid w:val="00D15D4A"/>
    <w:rsid w:val="00D160EB"/>
    <w:rsid w:val="00D16707"/>
    <w:rsid w:val="00D16B54"/>
    <w:rsid w:val="00D17DC1"/>
    <w:rsid w:val="00D20741"/>
    <w:rsid w:val="00D20AE9"/>
    <w:rsid w:val="00D20CC4"/>
    <w:rsid w:val="00D21420"/>
    <w:rsid w:val="00D21657"/>
    <w:rsid w:val="00D2235E"/>
    <w:rsid w:val="00D22602"/>
    <w:rsid w:val="00D22D05"/>
    <w:rsid w:val="00D23320"/>
    <w:rsid w:val="00D23927"/>
    <w:rsid w:val="00D239C5"/>
    <w:rsid w:val="00D23C8F"/>
    <w:rsid w:val="00D23F99"/>
    <w:rsid w:val="00D252C3"/>
    <w:rsid w:val="00D257B2"/>
    <w:rsid w:val="00D25855"/>
    <w:rsid w:val="00D25D62"/>
    <w:rsid w:val="00D26B12"/>
    <w:rsid w:val="00D26EDA"/>
    <w:rsid w:val="00D3136B"/>
    <w:rsid w:val="00D3272E"/>
    <w:rsid w:val="00D32A00"/>
    <w:rsid w:val="00D32EBA"/>
    <w:rsid w:val="00D331B8"/>
    <w:rsid w:val="00D3344F"/>
    <w:rsid w:val="00D33E2D"/>
    <w:rsid w:val="00D34D5B"/>
    <w:rsid w:val="00D34E80"/>
    <w:rsid w:val="00D35764"/>
    <w:rsid w:val="00D35AB9"/>
    <w:rsid w:val="00D36BD6"/>
    <w:rsid w:val="00D36E9F"/>
    <w:rsid w:val="00D37360"/>
    <w:rsid w:val="00D37385"/>
    <w:rsid w:val="00D374BA"/>
    <w:rsid w:val="00D3762F"/>
    <w:rsid w:val="00D37B4B"/>
    <w:rsid w:val="00D4019A"/>
    <w:rsid w:val="00D4106F"/>
    <w:rsid w:val="00D42325"/>
    <w:rsid w:val="00D426B7"/>
    <w:rsid w:val="00D438F6"/>
    <w:rsid w:val="00D43909"/>
    <w:rsid w:val="00D443E5"/>
    <w:rsid w:val="00D44B01"/>
    <w:rsid w:val="00D44E32"/>
    <w:rsid w:val="00D45209"/>
    <w:rsid w:val="00D45376"/>
    <w:rsid w:val="00D46D73"/>
    <w:rsid w:val="00D47BB2"/>
    <w:rsid w:val="00D5008F"/>
    <w:rsid w:val="00D50254"/>
    <w:rsid w:val="00D514AC"/>
    <w:rsid w:val="00D51D8E"/>
    <w:rsid w:val="00D51EF6"/>
    <w:rsid w:val="00D5287E"/>
    <w:rsid w:val="00D5333A"/>
    <w:rsid w:val="00D54781"/>
    <w:rsid w:val="00D551A6"/>
    <w:rsid w:val="00D5645A"/>
    <w:rsid w:val="00D57577"/>
    <w:rsid w:val="00D577D3"/>
    <w:rsid w:val="00D60441"/>
    <w:rsid w:val="00D61773"/>
    <w:rsid w:val="00D619D6"/>
    <w:rsid w:val="00D61ED2"/>
    <w:rsid w:val="00D6233C"/>
    <w:rsid w:val="00D623E7"/>
    <w:rsid w:val="00D63375"/>
    <w:rsid w:val="00D6397B"/>
    <w:rsid w:val="00D640FC"/>
    <w:rsid w:val="00D641D9"/>
    <w:rsid w:val="00D649F2"/>
    <w:rsid w:val="00D64E9A"/>
    <w:rsid w:val="00D671B7"/>
    <w:rsid w:val="00D706A7"/>
    <w:rsid w:val="00D7142A"/>
    <w:rsid w:val="00D71AB1"/>
    <w:rsid w:val="00D72A63"/>
    <w:rsid w:val="00D73EA5"/>
    <w:rsid w:val="00D7451B"/>
    <w:rsid w:val="00D74800"/>
    <w:rsid w:val="00D74884"/>
    <w:rsid w:val="00D74E21"/>
    <w:rsid w:val="00D75941"/>
    <w:rsid w:val="00D76CB5"/>
    <w:rsid w:val="00D7745C"/>
    <w:rsid w:val="00D77592"/>
    <w:rsid w:val="00D77B29"/>
    <w:rsid w:val="00D803BC"/>
    <w:rsid w:val="00D803DB"/>
    <w:rsid w:val="00D80804"/>
    <w:rsid w:val="00D80C89"/>
    <w:rsid w:val="00D80E4B"/>
    <w:rsid w:val="00D81693"/>
    <w:rsid w:val="00D81B6B"/>
    <w:rsid w:val="00D83430"/>
    <w:rsid w:val="00D854E2"/>
    <w:rsid w:val="00D85ED2"/>
    <w:rsid w:val="00D8663E"/>
    <w:rsid w:val="00D874B0"/>
    <w:rsid w:val="00D87DE5"/>
    <w:rsid w:val="00D900A3"/>
    <w:rsid w:val="00D90479"/>
    <w:rsid w:val="00D9055E"/>
    <w:rsid w:val="00D93806"/>
    <w:rsid w:val="00D93945"/>
    <w:rsid w:val="00D94FB9"/>
    <w:rsid w:val="00DA0264"/>
    <w:rsid w:val="00DA0E0C"/>
    <w:rsid w:val="00DA13DD"/>
    <w:rsid w:val="00DA1E68"/>
    <w:rsid w:val="00DA3057"/>
    <w:rsid w:val="00DA30A5"/>
    <w:rsid w:val="00DA3342"/>
    <w:rsid w:val="00DA4213"/>
    <w:rsid w:val="00DA4BCB"/>
    <w:rsid w:val="00DA596C"/>
    <w:rsid w:val="00DA6233"/>
    <w:rsid w:val="00DA65D6"/>
    <w:rsid w:val="00DA6969"/>
    <w:rsid w:val="00DA6D74"/>
    <w:rsid w:val="00DA7848"/>
    <w:rsid w:val="00DB0D3C"/>
    <w:rsid w:val="00DB1384"/>
    <w:rsid w:val="00DB1A01"/>
    <w:rsid w:val="00DB22A6"/>
    <w:rsid w:val="00DB26D1"/>
    <w:rsid w:val="00DB281A"/>
    <w:rsid w:val="00DB30FA"/>
    <w:rsid w:val="00DB4E83"/>
    <w:rsid w:val="00DB538D"/>
    <w:rsid w:val="00DB5924"/>
    <w:rsid w:val="00DB5BD9"/>
    <w:rsid w:val="00DC0A47"/>
    <w:rsid w:val="00DC198F"/>
    <w:rsid w:val="00DC1F9B"/>
    <w:rsid w:val="00DC3196"/>
    <w:rsid w:val="00DC3715"/>
    <w:rsid w:val="00DC3C72"/>
    <w:rsid w:val="00DC40B4"/>
    <w:rsid w:val="00DC4409"/>
    <w:rsid w:val="00DC4764"/>
    <w:rsid w:val="00DC5241"/>
    <w:rsid w:val="00DC6391"/>
    <w:rsid w:val="00DC7041"/>
    <w:rsid w:val="00DC7387"/>
    <w:rsid w:val="00DC7491"/>
    <w:rsid w:val="00DD024A"/>
    <w:rsid w:val="00DD1250"/>
    <w:rsid w:val="00DD1476"/>
    <w:rsid w:val="00DD2010"/>
    <w:rsid w:val="00DD2024"/>
    <w:rsid w:val="00DD4251"/>
    <w:rsid w:val="00DD4B69"/>
    <w:rsid w:val="00DD4E86"/>
    <w:rsid w:val="00DD5101"/>
    <w:rsid w:val="00DD6134"/>
    <w:rsid w:val="00DD69DC"/>
    <w:rsid w:val="00DD6FCB"/>
    <w:rsid w:val="00DE0D39"/>
    <w:rsid w:val="00DE10BE"/>
    <w:rsid w:val="00DE203F"/>
    <w:rsid w:val="00DE290A"/>
    <w:rsid w:val="00DE2AC8"/>
    <w:rsid w:val="00DE2B40"/>
    <w:rsid w:val="00DE3270"/>
    <w:rsid w:val="00DE360B"/>
    <w:rsid w:val="00DE378D"/>
    <w:rsid w:val="00DE3AFE"/>
    <w:rsid w:val="00DE4250"/>
    <w:rsid w:val="00DE4394"/>
    <w:rsid w:val="00DE47E1"/>
    <w:rsid w:val="00DE4F71"/>
    <w:rsid w:val="00DE6010"/>
    <w:rsid w:val="00DE644E"/>
    <w:rsid w:val="00DE70EF"/>
    <w:rsid w:val="00DE72A3"/>
    <w:rsid w:val="00DE78F0"/>
    <w:rsid w:val="00DF0563"/>
    <w:rsid w:val="00DF102C"/>
    <w:rsid w:val="00DF1A8E"/>
    <w:rsid w:val="00DF1C56"/>
    <w:rsid w:val="00DF20E3"/>
    <w:rsid w:val="00DF2265"/>
    <w:rsid w:val="00DF2970"/>
    <w:rsid w:val="00DF2BEC"/>
    <w:rsid w:val="00DF4289"/>
    <w:rsid w:val="00DF4D12"/>
    <w:rsid w:val="00DF68F0"/>
    <w:rsid w:val="00DF6FC5"/>
    <w:rsid w:val="00DF72CF"/>
    <w:rsid w:val="00DF7320"/>
    <w:rsid w:val="00DF7A3B"/>
    <w:rsid w:val="00DF7B95"/>
    <w:rsid w:val="00E00208"/>
    <w:rsid w:val="00E00441"/>
    <w:rsid w:val="00E0136B"/>
    <w:rsid w:val="00E0140B"/>
    <w:rsid w:val="00E0177A"/>
    <w:rsid w:val="00E02806"/>
    <w:rsid w:val="00E03325"/>
    <w:rsid w:val="00E03FA0"/>
    <w:rsid w:val="00E04D67"/>
    <w:rsid w:val="00E05423"/>
    <w:rsid w:val="00E06EA1"/>
    <w:rsid w:val="00E07CCE"/>
    <w:rsid w:val="00E07D0C"/>
    <w:rsid w:val="00E100B1"/>
    <w:rsid w:val="00E102BA"/>
    <w:rsid w:val="00E1078E"/>
    <w:rsid w:val="00E10D83"/>
    <w:rsid w:val="00E11A34"/>
    <w:rsid w:val="00E12B53"/>
    <w:rsid w:val="00E140D4"/>
    <w:rsid w:val="00E150C4"/>
    <w:rsid w:val="00E15532"/>
    <w:rsid w:val="00E16B5D"/>
    <w:rsid w:val="00E17DB0"/>
    <w:rsid w:val="00E21955"/>
    <w:rsid w:val="00E224AA"/>
    <w:rsid w:val="00E22554"/>
    <w:rsid w:val="00E22AEF"/>
    <w:rsid w:val="00E23D14"/>
    <w:rsid w:val="00E24173"/>
    <w:rsid w:val="00E256B7"/>
    <w:rsid w:val="00E25D44"/>
    <w:rsid w:val="00E25DCD"/>
    <w:rsid w:val="00E25FA2"/>
    <w:rsid w:val="00E26377"/>
    <w:rsid w:val="00E2753C"/>
    <w:rsid w:val="00E278E7"/>
    <w:rsid w:val="00E30A05"/>
    <w:rsid w:val="00E31523"/>
    <w:rsid w:val="00E319E6"/>
    <w:rsid w:val="00E32ED4"/>
    <w:rsid w:val="00E3366C"/>
    <w:rsid w:val="00E3475C"/>
    <w:rsid w:val="00E351AC"/>
    <w:rsid w:val="00E356B6"/>
    <w:rsid w:val="00E35BF4"/>
    <w:rsid w:val="00E35DBD"/>
    <w:rsid w:val="00E37275"/>
    <w:rsid w:val="00E373E0"/>
    <w:rsid w:val="00E37C5C"/>
    <w:rsid w:val="00E43D21"/>
    <w:rsid w:val="00E443A2"/>
    <w:rsid w:val="00E44827"/>
    <w:rsid w:val="00E44AE0"/>
    <w:rsid w:val="00E4523B"/>
    <w:rsid w:val="00E458B8"/>
    <w:rsid w:val="00E462C5"/>
    <w:rsid w:val="00E46807"/>
    <w:rsid w:val="00E468DC"/>
    <w:rsid w:val="00E46B00"/>
    <w:rsid w:val="00E47373"/>
    <w:rsid w:val="00E47D7C"/>
    <w:rsid w:val="00E50E66"/>
    <w:rsid w:val="00E512AA"/>
    <w:rsid w:val="00E5308D"/>
    <w:rsid w:val="00E54145"/>
    <w:rsid w:val="00E5433A"/>
    <w:rsid w:val="00E54C6C"/>
    <w:rsid w:val="00E54D82"/>
    <w:rsid w:val="00E54DCA"/>
    <w:rsid w:val="00E54E9F"/>
    <w:rsid w:val="00E55412"/>
    <w:rsid w:val="00E55B8E"/>
    <w:rsid w:val="00E55DFC"/>
    <w:rsid w:val="00E5694B"/>
    <w:rsid w:val="00E56A88"/>
    <w:rsid w:val="00E56C17"/>
    <w:rsid w:val="00E57D63"/>
    <w:rsid w:val="00E6035B"/>
    <w:rsid w:val="00E61C7E"/>
    <w:rsid w:val="00E61D3E"/>
    <w:rsid w:val="00E6236A"/>
    <w:rsid w:val="00E62D67"/>
    <w:rsid w:val="00E6420B"/>
    <w:rsid w:val="00E64B45"/>
    <w:rsid w:val="00E64F0E"/>
    <w:rsid w:val="00E650A1"/>
    <w:rsid w:val="00E654EB"/>
    <w:rsid w:val="00E65601"/>
    <w:rsid w:val="00E6589D"/>
    <w:rsid w:val="00E659B2"/>
    <w:rsid w:val="00E67095"/>
    <w:rsid w:val="00E67465"/>
    <w:rsid w:val="00E677E6"/>
    <w:rsid w:val="00E70366"/>
    <w:rsid w:val="00E7130C"/>
    <w:rsid w:val="00E71D6D"/>
    <w:rsid w:val="00E71EB3"/>
    <w:rsid w:val="00E740DD"/>
    <w:rsid w:val="00E7422D"/>
    <w:rsid w:val="00E7455C"/>
    <w:rsid w:val="00E75AD5"/>
    <w:rsid w:val="00E75D04"/>
    <w:rsid w:val="00E7608A"/>
    <w:rsid w:val="00E76D3A"/>
    <w:rsid w:val="00E77260"/>
    <w:rsid w:val="00E8098C"/>
    <w:rsid w:val="00E80C4B"/>
    <w:rsid w:val="00E80CF9"/>
    <w:rsid w:val="00E80E95"/>
    <w:rsid w:val="00E819AA"/>
    <w:rsid w:val="00E81B42"/>
    <w:rsid w:val="00E82247"/>
    <w:rsid w:val="00E823C0"/>
    <w:rsid w:val="00E82CA1"/>
    <w:rsid w:val="00E82D40"/>
    <w:rsid w:val="00E82D9E"/>
    <w:rsid w:val="00E83C7D"/>
    <w:rsid w:val="00E8576B"/>
    <w:rsid w:val="00E85DD6"/>
    <w:rsid w:val="00E8629C"/>
    <w:rsid w:val="00E86B93"/>
    <w:rsid w:val="00E87B88"/>
    <w:rsid w:val="00E87CB0"/>
    <w:rsid w:val="00E904F0"/>
    <w:rsid w:val="00E90ACF"/>
    <w:rsid w:val="00E91D02"/>
    <w:rsid w:val="00E91D12"/>
    <w:rsid w:val="00E92920"/>
    <w:rsid w:val="00E92AD7"/>
    <w:rsid w:val="00E9342D"/>
    <w:rsid w:val="00E936A9"/>
    <w:rsid w:val="00E96429"/>
    <w:rsid w:val="00E97703"/>
    <w:rsid w:val="00EA187C"/>
    <w:rsid w:val="00EA35ED"/>
    <w:rsid w:val="00EA6119"/>
    <w:rsid w:val="00EA6A35"/>
    <w:rsid w:val="00EA7053"/>
    <w:rsid w:val="00EB09F7"/>
    <w:rsid w:val="00EB0A48"/>
    <w:rsid w:val="00EB13C4"/>
    <w:rsid w:val="00EB16A4"/>
    <w:rsid w:val="00EB2063"/>
    <w:rsid w:val="00EB30EE"/>
    <w:rsid w:val="00EB5186"/>
    <w:rsid w:val="00EB5821"/>
    <w:rsid w:val="00EB58F4"/>
    <w:rsid w:val="00EB5DA2"/>
    <w:rsid w:val="00EB63EE"/>
    <w:rsid w:val="00EB6985"/>
    <w:rsid w:val="00EB6C9D"/>
    <w:rsid w:val="00EB7796"/>
    <w:rsid w:val="00EB7AC3"/>
    <w:rsid w:val="00EC08CF"/>
    <w:rsid w:val="00EC0CC6"/>
    <w:rsid w:val="00EC102D"/>
    <w:rsid w:val="00EC12BE"/>
    <w:rsid w:val="00EC21AD"/>
    <w:rsid w:val="00EC2B6E"/>
    <w:rsid w:val="00EC3234"/>
    <w:rsid w:val="00EC393E"/>
    <w:rsid w:val="00EC498B"/>
    <w:rsid w:val="00EC583F"/>
    <w:rsid w:val="00EC6B97"/>
    <w:rsid w:val="00EC6D5B"/>
    <w:rsid w:val="00EC749E"/>
    <w:rsid w:val="00EC7E41"/>
    <w:rsid w:val="00EC7E8A"/>
    <w:rsid w:val="00ED0931"/>
    <w:rsid w:val="00ED0B74"/>
    <w:rsid w:val="00ED12F1"/>
    <w:rsid w:val="00ED1722"/>
    <w:rsid w:val="00ED1A20"/>
    <w:rsid w:val="00ED1DA9"/>
    <w:rsid w:val="00ED1E1C"/>
    <w:rsid w:val="00ED4259"/>
    <w:rsid w:val="00ED5E6A"/>
    <w:rsid w:val="00ED77F5"/>
    <w:rsid w:val="00ED7E0A"/>
    <w:rsid w:val="00ED7F30"/>
    <w:rsid w:val="00EE02F4"/>
    <w:rsid w:val="00EE0E5C"/>
    <w:rsid w:val="00EE0FC5"/>
    <w:rsid w:val="00EE25CC"/>
    <w:rsid w:val="00EE2CBC"/>
    <w:rsid w:val="00EE3086"/>
    <w:rsid w:val="00EE3C20"/>
    <w:rsid w:val="00EE41C3"/>
    <w:rsid w:val="00EE4C37"/>
    <w:rsid w:val="00EE4F32"/>
    <w:rsid w:val="00EE55D8"/>
    <w:rsid w:val="00EE55E2"/>
    <w:rsid w:val="00EE5C91"/>
    <w:rsid w:val="00EE5EC8"/>
    <w:rsid w:val="00EE6A22"/>
    <w:rsid w:val="00EE6A97"/>
    <w:rsid w:val="00EE771B"/>
    <w:rsid w:val="00EF00D1"/>
    <w:rsid w:val="00EF00D6"/>
    <w:rsid w:val="00EF05E0"/>
    <w:rsid w:val="00EF0AC8"/>
    <w:rsid w:val="00EF0CD8"/>
    <w:rsid w:val="00EF0F44"/>
    <w:rsid w:val="00EF1BFE"/>
    <w:rsid w:val="00EF1E22"/>
    <w:rsid w:val="00EF1F9C"/>
    <w:rsid w:val="00EF3239"/>
    <w:rsid w:val="00EF3649"/>
    <w:rsid w:val="00EF3EC9"/>
    <w:rsid w:val="00EF4026"/>
    <w:rsid w:val="00EF511B"/>
    <w:rsid w:val="00EF6281"/>
    <w:rsid w:val="00EF6A5A"/>
    <w:rsid w:val="00EF6F53"/>
    <w:rsid w:val="00EF715D"/>
    <w:rsid w:val="00EF77E9"/>
    <w:rsid w:val="00EF79DA"/>
    <w:rsid w:val="00F009F4"/>
    <w:rsid w:val="00F009F8"/>
    <w:rsid w:val="00F03A6B"/>
    <w:rsid w:val="00F03B08"/>
    <w:rsid w:val="00F041E2"/>
    <w:rsid w:val="00F063A0"/>
    <w:rsid w:val="00F0697B"/>
    <w:rsid w:val="00F0713D"/>
    <w:rsid w:val="00F07BED"/>
    <w:rsid w:val="00F07C2F"/>
    <w:rsid w:val="00F100E2"/>
    <w:rsid w:val="00F10138"/>
    <w:rsid w:val="00F1051A"/>
    <w:rsid w:val="00F11AFA"/>
    <w:rsid w:val="00F11F79"/>
    <w:rsid w:val="00F12712"/>
    <w:rsid w:val="00F12A4B"/>
    <w:rsid w:val="00F12C24"/>
    <w:rsid w:val="00F13554"/>
    <w:rsid w:val="00F139AE"/>
    <w:rsid w:val="00F145F5"/>
    <w:rsid w:val="00F15303"/>
    <w:rsid w:val="00F1583F"/>
    <w:rsid w:val="00F15AF8"/>
    <w:rsid w:val="00F16C27"/>
    <w:rsid w:val="00F17121"/>
    <w:rsid w:val="00F24FC4"/>
    <w:rsid w:val="00F25851"/>
    <w:rsid w:val="00F25B52"/>
    <w:rsid w:val="00F262C6"/>
    <w:rsid w:val="00F2632F"/>
    <w:rsid w:val="00F263C9"/>
    <w:rsid w:val="00F267B2"/>
    <w:rsid w:val="00F2686B"/>
    <w:rsid w:val="00F30B64"/>
    <w:rsid w:val="00F30C11"/>
    <w:rsid w:val="00F310D7"/>
    <w:rsid w:val="00F31DEA"/>
    <w:rsid w:val="00F31F4F"/>
    <w:rsid w:val="00F32271"/>
    <w:rsid w:val="00F33C20"/>
    <w:rsid w:val="00F33DAA"/>
    <w:rsid w:val="00F341DB"/>
    <w:rsid w:val="00F342C1"/>
    <w:rsid w:val="00F347BF"/>
    <w:rsid w:val="00F34952"/>
    <w:rsid w:val="00F3522E"/>
    <w:rsid w:val="00F35AC1"/>
    <w:rsid w:val="00F35C61"/>
    <w:rsid w:val="00F3634E"/>
    <w:rsid w:val="00F36AED"/>
    <w:rsid w:val="00F36C58"/>
    <w:rsid w:val="00F37769"/>
    <w:rsid w:val="00F40D92"/>
    <w:rsid w:val="00F4120D"/>
    <w:rsid w:val="00F41AED"/>
    <w:rsid w:val="00F43885"/>
    <w:rsid w:val="00F446CA"/>
    <w:rsid w:val="00F452E7"/>
    <w:rsid w:val="00F45EBC"/>
    <w:rsid w:val="00F45FF4"/>
    <w:rsid w:val="00F47D12"/>
    <w:rsid w:val="00F47D99"/>
    <w:rsid w:val="00F509FB"/>
    <w:rsid w:val="00F51080"/>
    <w:rsid w:val="00F51A73"/>
    <w:rsid w:val="00F52779"/>
    <w:rsid w:val="00F52E62"/>
    <w:rsid w:val="00F5314F"/>
    <w:rsid w:val="00F5395F"/>
    <w:rsid w:val="00F53C63"/>
    <w:rsid w:val="00F54B8A"/>
    <w:rsid w:val="00F5590A"/>
    <w:rsid w:val="00F56986"/>
    <w:rsid w:val="00F57FFD"/>
    <w:rsid w:val="00F60049"/>
    <w:rsid w:val="00F6023F"/>
    <w:rsid w:val="00F60B57"/>
    <w:rsid w:val="00F61511"/>
    <w:rsid w:val="00F61793"/>
    <w:rsid w:val="00F6179C"/>
    <w:rsid w:val="00F6254E"/>
    <w:rsid w:val="00F64E39"/>
    <w:rsid w:val="00F65828"/>
    <w:rsid w:val="00F678D0"/>
    <w:rsid w:val="00F67BBB"/>
    <w:rsid w:val="00F707D5"/>
    <w:rsid w:val="00F715EF"/>
    <w:rsid w:val="00F71BC9"/>
    <w:rsid w:val="00F71FDF"/>
    <w:rsid w:val="00F72AC0"/>
    <w:rsid w:val="00F72D08"/>
    <w:rsid w:val="00F72D4E"/>
    <w:rsid w:val="00F73776"/>
    <w:rsid w:val="00F73ABD"/>
    <w:rsid w:val="00F7438C"/>
    <w:rsid w:val="00F746A0"/>
    <w:rsid w:val="00F75710"/>
    <w:rsid w:val="00F75C3F"/>
    <w:rsid w:val="00F76ABC"/>
    <w:rsid w:val="00F7769D"/>
    <w:rsid w:val="00F77B4E"/>
    <w:rsid w:val="00F77B59"/>
    <w:rsid w:val="00F80429"/>
    <w:rsid w:val="00F80647"/>
    <w:rsid w:val="00F81477"/>
    <w:rsid w:val="00F817C2"/>
    <w:rsid w:val="00F8237F"/>
    <w:rsid w:val="00F82BB6"/>
    <w:rsid w:val="00F82DA7"/>
    <w:rsid w:val="00F8399F"/>
    <w:rsid w:val="00F8401F"/>
    <w:rsid w:val="00F8414A"/>
    <w:rsid w:val="00F843F9"/>
    <w:rsid w:val="00F844C3"/>
    <w:rsid w:val="00F84690"/>
    <w:rsid w:val="00F8504A"/>
    <w:rsid w:val="00F85A0D"/>
    <w:rsid w:val="00F85D16"/>
    <w:rsid w:val="00F86D4C"/>
    <w:rsid w:val="00F87543"/>
    <w:rsid w:val="00F87F4F"/>
    <w:rsid w:val="00F9026D"/>
    <w:rsid w:val="00F90602"/>
    <w:rsid w:val="00F91C79"/>
    <w:rsid w:val="00F92590"/>
    <w:rsid w:val="00F940CF"/>
    <w:rsid w:val="00F94105"/>
    <w:rsid w:val="00F94433"/>
    <w:rsid w:val="00F9467C"/>
    <w:rsid w:val="00F94E3F"/>
    <w:rsid w:val="00F9504E"/>
    <w:rsid w:val="00F953FB"/>
    <w:rsid w:val="00F95704"/>
    <w:rsid w:val="00F9612F"/>
    <w:rsid w:val="00F9735D"/>
    <w:rsid w:val="00F97AE4"/>
    <w:rsid w:val="00F97C39"/>
    <w:rsid w:val="00FA06EF"/>
    <w:rsid w:val="00FA07C5"/>
    <w:rsid w:val="00FA0825"/>
    <w:rsid w:val="00FA1B5B"/>
    <w:rsid w:val="00FA28ED"/>
    <w:rsid w:val="00FA2C02"/>
    <w:rsid w:val="00FA3629"/>
    <w:rsid w:val="00FA38F5"/>
    <w:rsid w:val="00FA4055"/>
    <w:rsid w:val="00FA475C"/>
    <w:rsid w:val="00FA62F3"/>
    <w:rsid w:val="00FA6AEC"/>
    <w:rsid w:val="00FA7900"/>
    <w:rsid w:val="00FB04A5"/>
    <w:rsid w:val="00FB068A"/>
    <w:rsid w:val="00FB1113"/>
    <w:rsid w:val="00FB1205"/>
    <w:rsid w:val="00FB47AB"/>
    <w:rsid w:val="00FB4874"/>
    <w:rsid w:val="00FB4E7D"/>
    <w:rsid w:val="00FB53A7"/>
    <w:rsid w:val="00FB5566"/>
    <w:rsid w:val="00FB74BD"/>
    <w:rsid w:val="00FB7CCA"/>
    <w:rsid w:val="00FC11AB"/>
    <w:rsid w:val="00FC17BD"/>
    <w:rsid w:val="00FC1C12"/>
    <w:rsid w:val="00FC24B0"/>
    <w:rsid w:val="00FC25E7"/>
    <w:rsid w:val="00FC4483"/>
    <w:rsid w:val="00FC4B44"/>
    <w:rsid w:val="00FC5155"/>
    <w:rsid w:val="00FC5472"/>
    <w:rsid w:val="00FC5B4C"/>
    <w:rsid w:val="00FC6CD5"/>
    <w:rsid w:val="00FC727B"/>
    <w:rsid w:val="00FC763E"/>
    <w:rsid w:val="00FD09CA"/>
    <w:rsid w:val="00FD0F2F"/>
    <w:rsid w:val="00FD1104"/>
    <w:rsid w:val="00FD33B5"/>
    <w:rsid w:val="00FD378D"/>
    <w:rsid w:val="00FD3A4B"/>
    <w:rsid w:val="00FD3C91"/>
    <w:rsid w:val="00FD456A"/>
    <w:rsid w:val="00FD50D7"/>
    <w:rsid w:val="00FD6136"/>
    <w:rsid w:val="00FD6CC3"/>
    <w:rsid w:val="00FD6FBD"/>
    <w:rsid w:val="00FD7390"/>
    <w:rsid w:val="00FD77E9"/>
    <w:rsid w:val="00FD7DF5"/>
    <w:rsid w:val="00FE0922"/>
    <w:rsid w:val="00FE0A06"/>
    <w:rsid w:val="00FE0C0A"/>
    <w:rsid w:val="00FE1F74"/>
    <w:rsid w:val="00FE24CF"/>
    <w:rsid w:val="00FE2D74"/>
    <w:rsid w:val="00FE3DDC"/>
    <w:rsid w:val="00FE438F"/>
    <w:rsid w:val="00FE5393"/>
    <w:rsid w:val="00FE6840"/>
    <w:rsid w:val="00FE781C"/>
    <w:rsid w:val="00FE7A16"/>
    <w:rsid w:val="00FE7D3F"/>
    <w:rsid w:val="00FF0214"/>
    <w:rsid w:val="00FF05B7"/>
    <w:rsid w:val="00FF2983"/>
    <w:rsid w:val="00FF4778"/>
    <w:rsid w:val="00FF497F"/>
    <w:rsid w:val="00FF511C"/>
    <w:rsid w:val="00FF5236"/>
    <w:rsid w:val="00FF5B1A"/>
    <w:rsid w:val="00FF5BF7"/>
    <w:rsid w:val="00FF60F3"/>
    <w:rsid w:val="00FF6271"/>
    <w:rsid w:val="00FF6288"/>
    <w:rsid w:val="00FF716B"/>
    <w:rsid w:val="00FF74D0"/>
    <w:rsid w:val="00FF75A7"/>
    <w:rsid w:val="00FF7E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2FB7C94"/>
  <w15:docId w15:val="{C8092F19-C56F-49A9-B575-E032ED5C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5DEB"/>
    <w:rPr>
      <w:rFonts w:ascii="Verdana" w:hAnsi="Verdana"/>
      <w:sz w:val="18"/>
      <w:szCs w:val="24"/>
    </w:rPr>
  </w:style>
  <w:style w:type="paragraph" w:styleId="Kop1">
    <w:name w:val="heading 1"/>
    <w:basedOn w:val="Standaard"/>
    <w:next w:val="Standaard"/>
    <w:link w:val="Kop1Char"/>
    <w:qFormat/>
    <w:pPr>
      <w:pageBreakBefore/>
      <w:widowControl w:val="0"/>
      <w:numPr>
        <w:numId w:val="3"/>
      </w:numPr>
      <w:spacing w:after="700" w:line="300" w:lineRule="atLeast"/>
      <w:contextualSpacing/>
      <w:outlineLvl w:val="0"/>
    </w:pPr>
    <w:rPr>
      <w:rFonts w:cs="Arial"/>
      <w:bCs/>
      <w:kern w:val="32"/>
      <w:sz w:val="24"/>
      <w:szCs w:val="18"/>
    </w:rPr>
  </w:style>
  <w:style w:type="paragraph" w:styleId="Kop2">
    <w:name w:val="heading 2"/>
    <w:basedOn w:val="Kop1"/>
    <w:next w:val="Standaard"/>
    <w:link w:val="Kop2Char"/>
    <w:qFormat/>
    <w:pPr>
      <w:keepNext/>
      <w:pageBreakBefore w:val="0"/>
      <w:numPr>
        <w:ilvl w:val="1"/>
      </w:numPr>
      <w:spacing w:before="200" w:after="0"/>
      <w:outlineLvl w:val="1"/>
    </w:pPr>
    <w:rPr>
      <w:b/>
      <w:bCs w:val="0"/>
      <w:iCs/>
      <w:sz w:val="18"/>
      <w:szCs w:val="28"/>
    </w:rPr>
  </w:style>
  <w:style w:type="paragraph" w:styleId="Kop3">
    <w:name w:val="heading 3"/>
    <w:basedOn w:val="Kop1"/>
    <w:next w:val="Standaard"/>
    <w:link w:val="Kop3Char"/>
    <w:qFormat/>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link w:val="Kop4Char"/>
    <w:qFormat/>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pPr>
      <w:numPr>
        <w:ilvl w:val="4"/>
        <w:numId w:val="3"/>
      </w:numPr>
      <w:spacing w:before="240" w:after="60"/>
      <w:outlineLvl w:val="4"/>
    </w:pPr>
    <w:rPr>
      <w:b/>
      <w:bCs/>
      <w:i/>
      <w:iCs/>
      <w:sz w:val="26"/>
      <w:szCs w:val="26"/>
    </w:rPr>
  </w:style>
  <w:style w:type="paragraph" w:styleId="Kop6">
    <w:name w:val="heading 6"/>
    <w:basedOn w:val="Standaard"/>
    <w:next w:val="Standaard"/>
    <w:qFormat/>
    <w:pPr>
      <w:numPr>
        <w:ilvl w:val="5"/>
        <w:numId w:val="4"/>
      </w:numPr>
      <w:spacing w:before="240" w:after="60"/>
      <w:outlineLvl w:val="5"/>
    </w:pPr>
    <w:rPr>
      <w:rFonts w:ascii="Times New Roman" w:hAnsi="Times New Roman"/>
      <w:b/>
      <w:bCs/>
      <w:sz w:val="22"/>
      <w:szCs w:val="22"/>
    </w:rPr>
  </w:style>
  <w:style w:type="paragraph" w:styleId="Kop7">
    <w:name w:val="heading 7"/>
    <w:basedOn w:val="Standaard"/>
    <w:next w:val="Standaard"/>
    <w:qFormat/>
    <w:pPr>
      <w:numPr>
        <w:ilvl w:val="6"/>
        <w:numId w:val="4"/>
      </w:numPr>
      <w:spacing w:before="240" w:after="60"/>
      <w:outlineLvl w:val="6"/>
    </w:pPr>
    <w:rPr>
      <w:rFonts w:ascii="Times New Roman" w:hAnsi="Times New Roman"/>
      <w:sz w:val="24"/>
    </w:rPr>
  </w:style>
  <w:style w:type="paragraph" w:styleId="Kop8">
    <w:name w:val="heading 8"/>
    <w:basedOn w:val="Standaard"/>
    <w:next w:val="Standaard"/>
    <w:qFormat/>
    <w:pPr>
      <w:numPr>
        <w:ilvl w:val="7"/>
        <w:numId w:val="4"/>
      </w:numPr>
      <w:spacing w:before="240" w:after="60"/>
      <w:outlineLvl w:val="7"/>
    </w:pPr>
    <w:rPr>
      <w:rFonts w:ascii="Times New Roman" w:hAnsi="Times New Roman"/>
      <w:i/>
      <w:iCs/>
      <w:sz w:val="24"/>
    </w:rPr>
  </w:style>
  <w:style w:type="paragraph" w:styleId="Kop9">
    <w:name w:val="heading 9"/>
    <w:basedOn w:val="Standaard"/>
    <w:next w:val="Standaard"/>
    <w:qFormat/>
    <w:pPr>
      <w:numPr>
        <w:ilvl w:val="8"/>
        <w:numId w:val="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style>
  <w:style w:type="paragraph" w:customStyle="1" w:styleId="Kopzondernummering">
    <w:name w:val="Kop zonder nummering"/>
    <w:basedOn w:val="Standaard"/>
    <w:pPr>
      <w:spacing w:after="700" w:line="300" w:lineRule="atLeast"/>
      <w:contextualSpacing/>
    </w:pPr>
    <w:rPr>
      <w:sz w:val="24"/>
    </w:rPr>
  </w:style>
  <w:style w:type="character" w:styleId="Hyperlink">
    <w:name w:val="Hyperlink"/>
    <w:semiHidden/>
    <w:rPr>
      <w:rFonts w:ascii="Verdana" w:hAnsi="Verdana"/>
      <w:color w:val="000000"/>
      <w:u w:val="single"/>
    </w:rPr>
  </w:style>
  <w:style w:type="character" w:customStyle="1" w:styleId="Lijstnummering2CharChar">
    <w:name w:val="Lijstnummering 2 Char Char"/>
    <w:rPr>
      <w:rFonts w:ascii="Verdana" w:hAnsi="Verdana"/>
      <w:noProof w:val="0"/>
      <w:sz w:val="18"/>
      <w:szCs w:val="24"/>
      <w:lang w:val="nl-NL" w:eastAsia="nl-NL" w:bidi="ar-SA"/>
    </w:rPr>
  </w:style>
  <w:style w:type="paragraph" w:styleId="Lijstnummering2">
    <w:name w:val="List Number 2"/>
    <w:basedOn w:val="Standaard"/>
    <w:semiHidden/>
    <w:pPr>
      <w:numPr>
        <w:numId w:val="2"/>
      </w:numPr>
    </w:pPr>
  </w:style>
  <w:style w:type="paragraph" w:styleId="Inhopg1">
    <w:name w:val="toc 1"/>
    <w:basedOn w:val="Standaard"/>
    <w:next w:val="Standaard"/>
    <w:uiPriority w:val="39"/>
  </w:style>
  <w:style w:type="paragraph" w:customStyle="1" w:styleId="Huisstijl-Paginanummering">
    <w:name w:val="Huisstijl-Paginanummering"/>
    <w:basedOn w:val="Standaard"/>
    <w:pPr>
      <w:spacing w:line="180" w:lineRule="exact"/>
    </w:pPr>
    <w:rPr>
      <w:noProof/>
      <w:sz w:val="13"/>
    </w:rPr>
  </w:style>
  <w:style w:type="character" w:customStyle="1" w:styleId="LijstnummeringCharChar">
    <w:name w:val="Lijstnummering Char Char"/>
    <w:rPr>
      <w:rFonts w:ascii="Verdana" w:hAnsi="Verdana"/>
      <w:noProof w:val="0"/>
      <w:sz w:val="18"/>
      <w:szCs w:val="24"/>
      <w:lang w:val="nl-NL" w:eastAsia="nl-NL" w:bidi="ar-SA"/>
    </w:rPr>
  </w:style>
  <w:style w:type="paragraph" w:styleId="Lijstnummering">
    <w:name w:val="List Number"/>
    <w:basedOn w:val="Standaard"/>
    <w:semiHidden/>
    <w:pPr>
      <w:numPr>
        <w:numId w:val="1"/>
      </w:numPr>
    </w:pPr>
  </w:style>
  <w:style w:type="character" w:customStyle="1" w:styleId="Huisstijl-Koptekst">
    <w:name w:val="Huisstijl-Koptekst"/>
    <w:rPr>
      <w:rFonts w:ascii="Verdana" w:hAnsi="Verdana"/>
      <w:dstrike w:val="0"/>
      <w:sz w:val="13"/>
      <w:vertAlign w:val="baseline"/>
    </w:r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Lijstopsomteken2">
    <w:name w:val="List Bullet 2"/>
    <w:basedOn w:val="Standaard"/>
    <w:semiHidden/>
    <w:rPr>
      <w:noProof/>
    </w:rPr>
  </w:style>
  <w:style w:type="paragraph" w:styleId="Lijstopsomteken">
    <w:name w:val="List Bullet"/>
    <w:basedOn w:val="Standaard"/>
    <w:semiHidden/>
    <w:rPr>
      <w:noProof/>
    </w:rPr>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
      <w:bCs/>
      <w:kern w:val="28"/>
      <w:sz w:val="24"/>
      <w:szCs w:val="32"/>
    </w:rPr>
  </w:style>
  <w:style w:type="character" w:customStyle="1" w:styleId="Huisstijl-Rubricering">
    <w:name w:val="Huisstijl-Rubricering"/>
    <w:rPr>
      <w:rFonts w:ascii="Verdana" w:hAnsi="Verdana"/>
      <w:b/>
      <w:smallCaps/>
      <w:dstrike w:val="0"/>
      <w:sz w:val="13"/>
      <w:vertAlign w:val="baseline"/>
    </w:rPr>
  </w:style>
  <w:style w:type="paragraph" w:styleId="Inhopg2">
    <w:name w:val="toc 2"/>
    <w:basedOn w:val="Inhopg1"/>
    <w:next w:val="Standaard"/>
    <w:uiPriority w:val="39"/>
    <w:pPr>
      <w:tabs>
        <w:tab w:val="left" w:pos="0"/>
      </w:tabs>
      <w:spacing w:before="240"/>
      <w:ind w:left="-1160"/>
    </w:pPr>
    <w:rPr>
      <w:b/>
    </w:rPr>
  </w:style>
  <w:style w:type="paragraph" w:styleId="Normaalweb">
    <w:name w:val="Normal (Web)"/>
    <w:basedOn w:val="Standaard"/>
    <w:uiPriority w:val="99"/>
  </w:style>
  <w:style w:type="paragraph" w:styleId="Inhopg3">
    <w:name w:val="toc 3"/>
    <w:basedOn w:val="Inhopg2"/>
    <w:next w:val="Standaard"/>
    <w:uiPriority w:val="39"/>
    <w:pPr>
      <w:spacing w:before="0"/>
    </w:pPr>
    <w:rPr>
      <w:b w:val="0"/>
    </w:rPr>
  </w:style>
  <w:style w:type="paragraph" w:customStyle="1" w:styleId="Huisstijl-TabelTitel">
    <w:name w:val="Huisstijl-TabelTitel"/>
    <w:basedOn w:val="Standaard"/>
    <w:next w:val="Standaard"/>
    <w:rPr>
      <w:b/>
      <w:sz w:val="14"/>
    </w:rPr>
  </w:style>
  <w:style w:type="paragraph" w:customStyle="1" w:styleId="Huisstijl-Bijschrift">
    <w:name w:val="Huisstijl-Bijschrift"/>
    <w:basedOn w:val="Standaard"/>
    <w:next w:val="Standaard"/>
    <w:rPr>
      <w:i/>
    </w:rPr>
  </w:style>
  <w:style w:type="paragraph" w:styleId="Ballontekst">
    <w:name w:val="Balloon Text"/>
    <w:basedOn w:val="Standaard"/>
    <w:link w:val="BallontekstChar"/>
    <w:uiPriority w:val="99"/>
    <w:semiHidden/>
    <w:unhideWhenUsed/>
    <w:rsid w:val="00CB068F"/>
    <w:rPr>
      <w:rFonts w:ascii="Tahoma" w:hAnsi="Tahoma" w:cs="Tahoma"/>
      <w:sz w:val="16"/>
      <w:szCs w:val="16"/>
    </w:rPr>
  </w:style>
  <w:style w:type="character" w:customStyle="1" w:styleId="BallontekstChar">
    <w:name w:val="Ballontekst Char"/>
    <w:link w:val="Ballontekst"/>
    <w:uiPriority w:val="99"/>
    <w:semiHidden/>
    <w:rsid w:val="00CB068F"/>
    <w:rPr>
      <w:rFonts w:ascii="Tahoma" w:hAnsi="Tahoma" w:cs="Tahoma"/>
      <w:sz w:val="16"/>
      <w:szCs w:val="16"/>
    </w:rPr>
  </w:style>
  <w:style w:type="paragraph" w:customStyle="1" w:styleId="Huisstijl-TabelTekst">
    <w:name w:val="Huisstijl-TabelTekst"/>
    <w:basedOn w:val="Huisstijl-TabelTitel"/>
    <w:rPr>
      <w:b w:val="0"/>
    </w:rPr>
  </w:style>
  <w:style w:type="paragraph" w:styleId="Inhopg4">
    <w:name w:val="toc 4"/>
    <w:basedOn w:val="Inhopg3"/>
    <w:next w:val="Standaard"/>
    <w:uiPriority w:val="39"/>
  </w:style>
  <w:style w:type="paragraph" w:styleId="Inhopg5">
    <w:name w:val="toc 5"/>
    <w:basedOn w:val="Standaard"/>
    <w:next w:val="Standaard"/>
    <w:autoRedefine/>
    <w:semiHidden/>
    <w:pPr>
      <w:ind w:left="720"/>
    </w:pPr>
  </w:style>
  <w:style w:type="paragraph" w:styleId="Voetnoottekst">
    <w:name w:val="footnote text"/>
    <w:basedOn w:val="Standaard"/>
    <w:link w:val="VoetnoottekstChar"/>
    <w:uiPriority w:val="99"/>
    <w:semiHidden/>
    <w:pPr>
      <w:tabs>
        <w:tab w:val="left" w:pos="600"/>
      </w:tabs>
      <w:spacing w:line="180" w:lineRule="atLeast"/>
      <w:ind w:left="240" w:hanging="240"/>
    </w:pPr>
    <w:rPr>
      <w:sz w:val="13"/>
      <w:szCs w:val="20"/>
    </w:rPr>
  </w:style>
  <w:style w:type="character" w:styleId="Voetnootmarkering">
    <w:name w:val="footnote reference"/>
    <w:uiPriority w:val="99"/>
    <w:semiHidden/>
    <w:rPr>
      <w:vertAlign w:val="baseline"/>
    </w:rPr>
  </w:style>
  <w:style w:type="paragraph" w:styleId="Eindnoottekst">
    <w:name w:val="endnote text"/>
    <w:basedOn w:val="Standaard"/>
    <w:semiHidden/>
    <w:rPr>
      <w:sz w:val="20"/>
      <w:szCs w:val="20"/>
    </w:rPr>
  </w:style>
  <w:style w:type="character" w:styleId="Eindnootmarkering">
    <w:name w:val="endnote reference"/>
    <w:semiHidden/>
    <w:rPr>
      <w:vertAlign w:val="superscript"/>
    </w:rPr>
  </w:style>
  <w:style w:type="character" w:customStyle="1" w:styleId="Kop1Char">
    <w:name w:val="Kop 1 Char"/>
    <w:link w:val="Kop1"/>
    <w:rsid w:val="00384B34"/>
    <w:rPr>
      <w:rFonts w:ascii="Verdana" w:hAnsi="Verdana" w:cs="Arial"/>
      <w:bCs/>
      <w:kern w:val="32"/>
      <w:sz w:val="24"/>
      <w:szCs w:val="18"/>
    </w:rPr>
  </w:style>
  <w:style w:type="character" w:customStyle="1" w:styleId="Kop2Char">
    <w:name w:val="Kop 2 Char"/>
    <w:link w:val="Kop2"/>
    <w:rsid w:val="00384B34"/>
    <w:rPr>
      <w:rFonts w:ascii="Verdana" w:hAnsi="Verdana" w:cs="Arial"/>
      <w:b/>
      <w:iCs/>
      <w:kern w:val="32"/>
      <w:sz w:val="18"/>
      <w:szCs w:val="28"/>
    </w:rPr>
  </w:style>
  <w:style w:type="character" w:customStyle="1" w:styleId="Kop3Char">
    <w:name w:val="Kop 3 Char"/>
    <w:link w:val="Kop3"/>
    <w:rsid w:val="00384B34"/>
    <w:rPr>
      <w:rFonts w:ascii="Verdana" w:hAnsi="Verdana" w:cs="Arial"/>
      <w:i/>
      <w:kern w:val="32"/>
      <w:sz w:val="18"/>
      <w:szCs w:val="26"/>
    </w:rPr>
  </w:style>
  <w:style w:type="character" w:customStyle="1" w:styleId="Kop4Char">
    <w:name w:val="Kop 4 Char"/>
    <w:link w:val="Kop4"/>
    <w:rsid w:val="00384B34"/>
    <w:rPr>
      <w:rFonts w:ascii="Verdana" w:hAnsi="Verdana" w:cs="Arial"/>
      <w:kern w:val="32"/>
      <w:sz w:val="18"/>
      <w:szCs w:val="28"/>
    </w:rPr>
  </w:style>
  <w:style w:type="character" w:customStyle="1" w:styleId="VoetnoottekstChar">
    <w:name w:val="Voetnoottekst Char"/>
    <w:link w:val="Voetnoottekst"/>
    <w:uiPriority w:val="99"/>
    <w:semiHidden/>
    <w:rsid w:val="00384B34"/>
    <w:rPr>
      <w:rFonts w:ascii="Verdana" w:hAnsi="Verdana"/>
      <w:sz w:val="13"/>
    </w:rPr>
  </w:style>
  <w:style w:type="paragraph" w:styleId="Lijstalinea">
    <w:name w:val="List Paragraph"/>
    <w:basedOn w:val="Standaard"/>
    <w:uiPriority w:val="34"/>
    <w:qFormat/>
    <w:rsid w:val="008D281A"/>
    <w:pPr>
      <w:ind w:left="720"/>
      <w:contextualSpacing/>
    </w:pPr>
  </w:style>
  <w:style w:type="paragraph" w:customStyle="1" w:styleId="Pa5">
    <w:name w:val="Pa5"/>
    <w:basedOn w:val="Standaard"/>
    <w:next w:val="Standaard"/>
    <w:rsid w:val="006834B8"/>
    <w:pPr>
      <w:suppressAutoHyphens/>
      <w:spacing w:line="201" w:lineRule="atLeast"/>
    </w:pPr>
    <w:rPr>
      <w:rFonts w:ascii="Berthold Imago Medium" w:hAnsi="Berthold Imago Medium"/>
      <w:sz w:val="24"/>
      <w:szCs w:val="20"/>
      <w:lang w:eastAsia="zh-CN"/>
    </w:rPr>
  </w:style>
  <w:style w:type="paragraph" w:customStyle="1" w:styleId="Pa6">
    <w:name w:val="Pa6"/>
    <w:basedOn w:val="Standaard"/>
    <w:next w:val="Standaard"/>
    <w:rsid w:val="006834B8"/>
    <w:pPr>
      <w:suppressAutoHyphens/>
      <w:spacing w:line="201" w:lineRule="atLeast"/>
    </w:pPr>
    <w:rPr>
      <w:rFonts w:ascii="Berthold Imago Medium" w:hAnsi="Berthold Imago Medium"/>
      <w:sz w:val="24"/>
      <w:szCs w:val="20"/>
      <w:lang w:eastAsia="zh-CN"/>
    </w:rPr>
  </w:style>
  <w:style w:type="table" w:styleId="Tabelraster">
    <w:name w:val="Table Grid"/>
    <w:basedOn w:val="Standaardtabel"/>
    <w:uiPriority w:val="59"/>
    <w:rsid w:val="00A53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onderkopje">
    <w:name w:val="Tabel - onder kopje"/>
    <w:basedOn w:val="Standaard"/>
    <w:rsid w:val="0081210E"/>
    <w:pPr>
      <w:widowControl w:val="0"/>
    </w:pPr>
    <w:rPr>
      <w:rFonts w:ascii="ImagoBQ-Book" w:hAnsi="ImagoBQ-Book"/>
      <w:spacing w:val="5"/>
      <w:sz w:val="16"/>
      <w:szCs w:val="20"/>
    </w:rPr>
  </w:style>
  <w:style w:type="paragraph" w:styleId="Geenafstand">
    <w:name w:val="No Spacing"/>
    <w:uiPriority w:val="3"/>
    <w:qFormat/>
    <w:rsid w:val="005F3427"/>
    <w:rPr>
      <w:rFonts w:asciiTheme="minorHAnsi" w:eastAsiaTheme="minorEastAsia" w:hAnsiTheme="minorHAnsi" w:cstheme="minorBidi"/>
      <w:sz w:val="22"/>
      <w:szCs w:val="22"/>
    </w:rPr>
  </w:style>
  <w:style w:type="character" w:styleId="Verwijzingopmerking">
    <w:name w:val="annotation reference"/>
    <w:basedOn w:val="Standaardalinea-lettertype"/>
    <w:uiPriority w:val="99"/>
    <w:semiHidden/>
    <w:unhideWhenUsed/>
    <w:rsid w:val="00E7608A"/>
    <w:rPr>
      <w:sz w:val="16"/>
      <w:szCs w:val="16"/>
    </w:rPr>
  </w:style>
  <w:style w:type="paragraph" w:styleId="Tekstopmerking">
    <w:name w:val="annotation text"/>
    <w:basedOn w:val="Standaard"/>
    <w:link w:val="TekstopmerkingChar"/>
    <w:uiPriority w:val="99"/>
    <w:unhideWhenUsed/>
    <w:rsid w:val="00E7608A"/>
    <w:rPr>
      <w:sz w:val="20"/>
      <w:szCs w:val="20"/>
    </w:rPr>
  </w:style>
  <w:style w:type="character" w:customStyle="1" w:styleId="TekstopmerkingChar">
    <w:name w:val="Tekst opmerking Char"/>
    <w:basedOn w:val="Standaardalinea-lettertype"/>
    <w:link w:val="Tekstopmerking"/>
    <w:uiPriority w:val="99"/>
    <w:rsid w:val="00E7608A"/>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9328C5"/>
    <w:rPr>
      <w:b/>
      <w:bCs/>
    </w:rPr>
  </w:style>
  <w:style w:type="character" w:customStyle="1" w:styleId="OnderwerpvanopmerkingChar">
    <w:name w:val="Onderwerp van opmerking Char"/>
    <w:basedOn w:val="TekstopmerkingChar"/>
    <w:link w:val="Onderwerpvanopmerking"/>
    <w:uiPriority w:val="99"/>
    <w:semiHidden/>
    <w:rsid w:val="009328C5"/>
    <w:rPr>
      <w:rFonts w:ascii="Verdana" w:hAnsi="Verdana"/>
      <w:b/>
      <w:bCs/>
    </w:rPr>
  </w:style>
  <w:style w:type="paragraph" w:customStyle="1" w:styleId="Default">
    <w:name w:val="Default"/>
    <w:rsid w:val="00AC4381"/>
    <w:pPr>
      <w:autoSpaceDE w:val="0"/>
      <w:autoSpaceDN w:val="0"/>
      <w:adjustRightInd w:val="0"/>
    </w:pPr>
    <w:rPr>
      <w:color w:val="000000"/>
      <w:sz w:val="24"/>
      <w:szCs w:val="24"/>
    </w:rPr>
  </w:style>
  <w:style w:type="paragraph" w:styleId="Revisie">
    <w:name w:val="Revision"/>
    <w:hidden/>
    <w:uiPriority w:val="99"/>
    <w:semiHidden/>
    <w:rsid w:val="009C24E0"/>
    <w:rPr>
      <w:rFonts w:ascii="Verdana" w:hAnsi="Verdana"/>
      <w:sz w:val="18"/>
      <w:szCs w:val="24"/>
    </w:rPr>
  </w:style>
  <w:style w:type="character" w:customStyle="1" w:styleId="A6">
    <w:name w:val="A6"/>
    <w:basedOn w:val="Standaardalinea-lettertype"/>
    <w:uiPriority w:val="99"/>
    <w:rsid w:val="002A3DD0"/>
    <w:rPr>
      <w:rFonts w:ascii="RijksoverheidSerif" w:hAnsi="RijksoverheidSerif" w:hint="default"/>
      <w:color w:val="000000"/>
    </w:rPr>
  </w:style>
  <w:style w:type="character" w:customStyle="1" w:styleId="st1">
    <w:name w:val="st1"/>
    <w:basedOn w:val="Standaardalinea-lettertype"/>
    <w:rsid w:val="00867DB4"/>
  </w:style>
  <w:style w:type="paragraph" w:customStyle="1" w:styleId="Lijststreepjetweedeniveau">
    <w:name w:val="Lijst streepje (tweede niveau)"/>
    <w:basedOn w:val="Standaard"/>
    <w:uiPriority w:val="2"/>
    <w:qFormat/>
    <w:rsid w:val="000F2A0D"/>
    <w:pPr>
      <w:numPr>
        <w:numId w:val="7"/>
      </w:numPr>
      <w:ind w:left="454" w:hanging="227"/>
    </w:pPr>
    <w:rPr>
      <w:rFonts w:eastAsiaTheme="minorHAnsi" w:cstheme="minorBidi"/>
      <w:szCs w:val="22"/>
      <w:lang w:eastAsia="en-US"/>
    </w:rPr>
  </w:style>
  <w:style w:type="paragraph" w:customStyle="1" w:styleId="Basis">
    <w:name w:val="Basis"/>
    <w:basedOn w:val="Standaard"/>
    <w:rsid w:val="00D11D17"/>
    <w:pPr>
      <w:autoSpaceDN w:val="0"/>
      <w:textAlignment w:val="baseline"/>
    </w:pPr>
    <w:rPr>
      <w:rFonts w:ascii="DejaVu Sans" w:eastAsiaTheme="minorEastAsia" w:hAnsi="DejaVu Sans" w:cstheme="minorBidi"/>
      <w:kern w:val="3"/>
      <w:szCs w:val="20"/>
    </w:rPr>
  </w:style>
  <w:style w:type="character" w:styleId="GevolgdeHyperlink">
    <w:name w:val="FollowedHyperlink"/>
    <w:basedOn w:val="Standaardalinea-lettertype"/>
    <w:uiPriority w:val="99"/>
    <w:semiHidden/>
    <w:unhideWhenUsed/>
    <w:rsid w:val="00A26E89"/>
    <w:rPr>
      <w:color w:val="800080" w:themeColor="followedHyperlink"/>
      <w:u w:val="single"/>
    </w:rPr>
  </w:style>
  <w:style w:type="paragraph" w:customStyle="1" w:styleId="labeled">
    <w:name w:val="labeled"/>
    <w:basedOn w:val="Standaard"/>
    <w:rsid w:val="00B66A66"/>
    <w:pPr>
      <w:spacing w:before="100" w:beforeAutospacing="1" w:after="100" w:afterAutospacing="1"/>
    </w:pPr>
    <w:rPr>
      <w:rFonts w:ascii="Times New Roman" w:hAnsi="Times New Roman"/>
      <w:sz w:val="24"/>
    </w:rPr>
  </w:style>
  <w:style w:type="character" w:customStyle="1" w:styleId="ol">
    <w:name w:val="ol"/>
    <w:basedOn w:val="Standaardalinea-lettertype"/>
    <w:rsid w:val="00837D45"/>
  </w:style>
  <w:style w:type="character" w:styleId="Tekstvantijdelijkeaanduiding">
    <w:name w:val="Placeholder Text"/>
    <w:basedOn w:val="Standaardalinea-lettertype"/>
    <w:uiPriority w:val="99"/>
    <w:semiHidden/>
    <w:rsid w:val="00837D45"/>
    <w:rPr>
      <w:color w:val="808080"/>
    </w:rPr>
  </w:style>
  <w:style w:type="character" w:styleId="Nadruk">
    <w:name w:val="Emphasis"/>
    <w:basedOn w:val="Standaardalinea-lettertype"/>
    <w:uiPriority w:val="20"/>
    <w:qFormat/>
    <w:rsid w:val="009332E5"/>
    <w:rPr>
      <w:i/>
      <w:iCs/>
    </w:rPr>
  </w:style>
  <w:style w:type="character" w:customStyle="1" w:styleId="wknlbron2">
    <w:name w:val="wknl_bron2"/>
    <w:basedOn w:val="Standaardalinea-lettertype"/>
    <w:rsid w:val="00EE4C37"/>
  </w:style>
  <w:style w:type="paragraph" w:customStyle="1" w:styleId="Num-DocParagraph">
    <w:name w:val="Num-Doc Paragraph"/>
    <w:basedOn w:val="Plattetekst"/>
    <w:rsid w:val="002177CA"/>
    <w:pPr>
      <w:tabs>
        <w:tab w:val="left" w:pos="850"/>
        <w:tab w:val="left" w:pos="1191"/>
        <w:tab w:val="left" w:pos="1531"/>
      </w:tabs>
      <w:spacing w:after="240"/>
      <w:jc w:val="both"/>
    </w:pPr>
    <w:rPr>
      <w:rFonts w:ascii="Times New Roman" w:hAnsi="Times New Roman"/>
      <w:sz w:val="22"/>
      <w:szCs w:val="22"/>
      <w:lang w:val="en-GB" w:eastAsia="zh-CN"/>
    </w:rPr>
  </w:style>
  <w:style w:type="paragraph" w:styleId="Plattetekst">
    <w:name w:val="Body Text"/>
    <w:basedOn w:val="Standaard"/>
    <w:link w:val="PlattetekstChar"/>
    <w:uiPriority w:val="99"/>
    <w:semiHidden/>
    <w:unhideWhenUsed/>
    <w:rsid w:val="002177CA"/>
    <w:pPr>
      <w:spacing w:after="120"/>
    </w:pPr>
  </w:style>
  <w:style w:type="character" w:customStyle="1" w:styleId="PlattetekstChar">
    <w:name w:val="Platte tekst Char"/>
    <w:basedOn w:val="Standaardalinea-lettertype"/>
    <w:link w:val="Plattetekst"/>
    <w:uiPriority w:val="99"/>
    <w:semiHidden/>
    <w:rsid w:val="002177CA"/>
    <w:rPr>
      <w:rFonts w:ascii="Verdana" w:hAnsi="Verdana"/>
      <w:sz w:val="18"/>
      <w:szCs w:val="24"/>
    </w:rPr>
  </w:style>
  <w:style w:type="character" w:styleId="Onopgelostemelding">
    <w:name w:val="Unresolved Mention"/>
    <w:basedOn w:val="Standaardalinea-lettertype"/>
    <w:uiPriority w:val="99"/>
    <w:semiHidden/>
    <w:unhideWhenUsed/>
    <w:rsid w:val="002F7756"/>
    <w:rPr>
      <w:color w:val="605E5C"/>
      <w:shd w:val="clear" w:color="auto" w:fill="E1DFDD"/>
    </w:rPr>
  </w:style>
  <w:style w:type="paragraph" w:styleId="HTML-voorafopgemaakt">
    <w:name w:val="HTML Preformatted"/>
    <w:basedOn w:val="Standaard"/>
    <w:link w:val="HTML-voorafopgemaaktChar"/>
    <w:uiPriority w:val="99"/>
    <w:semiHidden/>
    <w:unhideWhenUsed/>
    <w:rsid w:val="00F45FF4"/>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F45FF4"/>
    <w:rPr>
      <w:rFonts w:ascii="Consolas" w:hAnsi="Consolas"/>
    </w:rPr>
  </w:style>
  <w:style w:type="character" w:customStyle="1" w:styleId="cf01">
    <w:name w:val="cf01"/>
    <w:basedOn w:val="Standaardalinea-lettertype"/>
    <w:rsid w:val="002116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2687">
      <w:bodyDiv w:val="1"/>
      <w:marLeft w:val="0"/>
      <w:marRight w:val="0"/>
      <w:marTop w:val="0"/>
      <w:marBottom w:val="0"/>
      <w:divBdr>
        <w:top w:val="none" w:sz="0" w:space="0" w:color="auto"/>
        <w:left w:val="none" w:sz="0" w:space="0" w:color="auto"/>
        <w:bottom w:val="none" w:sz="0" w:space="0" w:color="auto"/>
        <w:right w:val="none" w:sz="0" w:space="0" w:color="auto"/>
      </w:divBdr>
    </w:div>
    <w:div w:id="287517762">
      <w:bodyDiv w:val="1"/>
      <w:marLeft w:val="0"/>
      <w:marRight w:val="0"/>
      <w:marTop w:val="0"/>
      <w:marBottom w:val="0"/>
      <w:divBdr>
        <w:top w:val="none" w:sz="0" w:space="0" w:color="auto"/>
        <w:left w:val="none" w:sz="0" w:space="0" w:color="auto"/>
        <w:bottom w:val="none" w:sz="0" w:space="0" w:color="auto"/>
        <w:right w:val="none" w:sz="0" w:space="0" w:color="auto"/>
      </w:divBdr>
      <w:divsChild>
        <w:div w:id="427966105">
          <w:marLeft w:val="0"/>
          <w:marRight w:val="0"/>
          <w:marTop w:val="0"/>
          <w:marBottom w:val="0"/>
          <w:divBdr>
            <w:top w:val="none" w:sz="0" w:space="0" w:color="auto"/>
            <w:left w:val="none" w:sz="0" w:space="0" w:color="auto"/>
            <w:bottom w:val="none" w:sz="0" w:space="0" w:color="auto"/>
            <w:right w:val="none" w:sz="0" w:space="0" w:color="auto"/>
          </w:divBdr>
          <w:divsChild>
            <w:div w:id="443887133">
              <w:marLeft w:val="0"/>
              <w:marRight w:val="0"/>
              <w:marTop w:val="0"/>
              <w:marBottom w:val="0"/>
              <w:divBdr>
                <w:top w:val="none" w:sz="0" w:space="0" w:color="auto"/>
                <w:left w:val="none" w:sz="0" w:space="0" w:color="auto"/>
                <w:bottom w:val="none" w:sz="0" w:space="0" w:color="auto"/>
                <w:right w:val="none" w:sz="0" w:space="0" w:color="auto"/>
              </w:divBdr>
              <w:divsChild>
                <w:div w:id="1704862203">
                  <w:marLeft w:val="0"/>
                  <w:marRight w:val="0"/>
                  <w:marTop w:val="0"/>
                  <w:marBottom w:val="0"/>
                  <w:divBdr>
                    <w:top w:val="none" w:sz="0" w:space="0" w:color="auto"/>
                    <w:left w:val="none" w:sz="0" w:space="0" w:color="auto"/>
                    <w:bottom w:val="none" w:sz="0" w:space="0" w:color="auto"/>
                    <w:right w:val="none" w:sz="0" w:space="0" w:color="auto"/>
                  </w:divBdr>
                  <w:divsChild>
                    <w:div w:id="928853768">
                      <w:marLeft w:val="0"/>
                      <w:marRight w:val="0"/>
                      <w:marTop w:val="0"/>
                      <w:marBottom w:val="0"/>
                      <w:divBdr>
                        <w:top w:val="none" w:sz="0" w:space="0" w:color="auto"/>
                        <w:left w:val="none" w:sz="0" w:space="0" w:color="auto"/>
                        <w:bottom w:val="none" w:sz="0" w:space="0" w:color="auto"/>
                        <w:right w:val="none" w:sz="0" w:space="0" w:color="auto"/>
                      </w:divBdr>
                      <w:divsChild>
                        <w:div w:id="201023523">
                          <w:marLeft w:val="0"/>
                          <w:marRight w:val="0"/>
                          <w:marTop w:val="0"/>
                          <w:marBottom w:val="0"/>
                          <w:divBdr>
                            <w:top w:val="none" w:sz="0" w:space="0" w:color="auto"/>
                            <w:left w:val="none" w:sz="0" w:space="0" w:color="auto"/>
                            <w:bottom w:val="none" w:sz="0" w:space="0" w:color="auto"/>
                            <w:right w:val="none" w:sz="0" w:space="0" w:color="auto"/>
                          </w:divBdr>
                          <w:divsChild>
                            <w:div w:id="238247683">
                              <w:marLeft w:val="0"/>
                              <w:marRight w:val="0"/>
                              <w:marTop w:val="0"/>
                              <w:marBottom w:val="0"/>
                              <w:divBdr>
                                <w:top w:val="none" w:sz="0" w:space="0" w:color="auto"/>
                                <w:left w:val="none" w:sz="0" w:space="0" w:color="auto"/>
                                <w:bottom w:val="none" w:sz="0" w:space="0" w:color="auto"/>
                                <w:right w:val="none" w:sz="0" w:space="0" w:color="auto"/>
                              </w:divBdr>
                              <w:divsChild>
                                <w:div w:id="1429961240">
                                  <w:marLeft w:val="0"/>
                                  <w:marRight w:val="0"/>
                                  <w:marTop w:val="0"/>
                                  <w:marBottom w:val="0"/>
                                  <w:divBdr>
                                    <w:top w:val="none" w:sz="0" w:space="0" w:color="auto"/>
                                    <w:left w:val="none" w:sz="0" w:space="0" w:color="auto"/>
                                    <w:bottom w:val="none" w:sz="0" w:space="0" w:color="auto"/>
                                    <w:right w:val="none" w:sz="0" w:space="0" w:color="auto"/>
                                  </w:divBdr>
                                  <w:divsChild>
                                    <w:div w:id="1037118900">
                                      <w:marLeft w:val="0"/>
                                      <w:marRight w:val="0"/>
                                      <w:marTop w:val="0"/>
                                      <w:marBottom w:val="0"/>
                                      <w:divBdr>
                                        <w:top w:val="none" w:sz="0" w:space="0" w:color="auto"/>
                                        <w:left w:val="none" w:sz="0" w:space="0" w:color="auto"/>
                                        <w:bottom w:val="none" w:sz="0" w:space="0" w:color="auto"/>
                                        <w:right w:val="none" w:sz="0" w:space="0" w:color="auto"/>
                                      </w:divBdr>
                                      <w:divsChild>
                                        <w:div w:id="982388615">
                                          <w:marLeft w:val="0"/>
                                          <w:marRight w:val="0"/>
                                          <w:marTop w:val="0"/>
                                          <w:marBottom w:val="0"/>
                                          <w:divBdr>
                                            <w:top w:val="none" w:sz="0" w:space="0" w:color="auto"/>
                                            <w:left w:val="none" w:sz="0" w:space="0" w:color="auto"/>
                                            <w:bottom w:val="none" w:sz="0" w:space="0" w:color="auto"/>
                                            <w:right w:val="none" w:sz="0" w:space="0" w:color="auto"/>
                                          </w:divBdr>
                                          <w:divsChild>
                                            <w:div w:id="549727750">
                                              <w:marLeft w:val="0"/>
                                              <w:marRight w:val="0"/>
                                              <w:marTop w:val="0"/>
                                              <w:marBottom w:val="0"/>
                                              <w:divBdr>
                                                <w:top w:val="none" w:sz="0" w:space="0" w:color="auto"/>
                                                <w:left w:val="none" w:sz="0" w:space="0" w:color="auto"/>
                                                <w:bottom w:val="none" w:sz="0" w:space="0" w:color="auto"/>
                                                <w:right w:val="none" w:sz="0" w:space="0" w:color="auto"/>
                                              </w:divBdr>
                                              <w:divsChild>
                                                <w:div w:id="1718360971">
                                                  <w:marLeft w:val="0"/>
                                                  <w:marRight w:val="0"/>
                                                  <w:marTop w:val="0"/>
                                                  <w:marBottom w:val="0"/>
                                                  <w:divBdr>
                                                    <w:top w:val="none" w:sz="0" w:space="0" w:color="auto"/>
                                                    <w:left w:val="none" w:sz="0" w:space="0" w:color="auto"/>
                                                    <w:bottom w:val="none" w:sz="0" w:space="0" w:color="auto"/>
                                                    <w:right w:val="none" w:sz="0" w:space="0" w:color="auto"/>
                                                  </w:divBdr>
                                                  <w:divsChild>
                                                    <w:div w:id="129901433">
                                                      <w:marLeft w:val="0"/>
                                                      <w:marRight w:val="0"/>
                                                      <w:marTop w:val="0"/>
                                                      <w:marBottom w:val="0"/>
                                                      <w:divBdr>
                                                        <w:top w:val="none" w:sz="0" w:space="0" w:color="auto"/>
                                                        <w:left w:val="none" w:sz="0" w:space="0" w:color="auto"/>
                                                        <w:bottom w:val="none" w:sz="0" w:space="0" w:color="auto"/>
                                                        <w:right w:val="none" w:sz="0" w:space="0" w:color="auto"/>
                                                      </w:divBdr>
                                                      <w:divsChild>
                                                        <w:div w:id="280262518">
                                                          <w:marLeft w:val="0"/>
                                                          <w:marRight w:val="0"/>
                                                          <w:marTop w:val="0"/>
                                                          <w:marBottom w:val="0"/>
                                                          <w:divBdr>
                                                            <w:top w:val="none" w:sz="0" w:space="0" w:color="auto"/>
                                                            <w:left w:val="none" w:sz="0" w:space="0" w:color="auto"/>
                                                            <w:bottom w:val="none" w:sz="0" w:space="0" w:color="auto"/>
                                                            <w:right w:val="none" w:sz="0" w:space="0" w:color="auto"/>
                                                          </w:divBdr>
                                                          <w:divsChild>
                                                            <w:div w:id="1378119288">
                                                              <w:marLeft w:val="0"/>
                                                              <w:marRight w:val="0"/>
                                                              <w:marTop w:val="0"/>
                                                              <w:marBottom w:val="0"/>
                                                              <w:divBdr>
                                                                <w:top w:val="none" w:sz="0" w:space="0" w:color="auto"/>
                                                                <w:left w:val="none" w:sz="0" w:space="0" w:color="auto"/>
                                                                <w:bottom w:val="none" w:sz="0" w:space="0" w:color="auto"/>
                                                                <w:right w:val="none" w:sz="0" w:space="0" w:color="auto"/>
                                                              </w:divBdr>
                                                              <w:divsChild>
                                                                <w:div w:id="700592350">
                                                                  <w:marLeft w:val="0"/>
                                                                  <w:marRight w:val="0"/>
                                                                  <w:marTop w:val="0"/>
                                                                  <w:marBottom w:val="0"/>
                                                                  <w:divBdr>
                                                                    <w:top w:val="none" w:sz="0" w:space="0" w:color="auto"/>
                                                                    <w:left w:val="none" w:sz="0" w:space="0" w:color="auto"/>
                                                                    <w:bottom w:val="none" w:sz="0" w:space="0" w:color="auto"/>
                                                                    <w:right w:val="none" w:sz="0" w:space="0" w:color="auto"/>
                                                                  </w:divBdr>
                                                                  <w:divsChild>
                                                                    <w:div w:id="649557895">
                                                                      <w:marLeft w:val="0"/>
                                                                      <w:marRight w:val="0"/>
                                                                      <w:marTop w:val="0"/>
                                                                      <w:marBottom w:val="0"/>
                                                                      <w:divBdr>
                                                                        <w:top w:val="none" w:sz="0" w:space="0" w:color="auto"/>
                                                                        <w:left w:val="none" w:sz="0" w:space="0" w:color="auto"/>
                                                                        <w:bottom w:val="none" w:sz="0" w:space="0" w:color="auto"/>
                                                                        <w:right w:val="none" w:sz="0" w:space="0" w:color="auto"/>
                                                                      </w:divBdr>
                                                                      <w:divsChild>
                                                                        <w:div w:id="972174310">
                                                                          <w:marLeft w:val="0"/>
                                                                          <w:marRight w:val="0"/>
                                                                          <w:marTop w:val="0"/>
                                                                          <w:marBottom w:val="0"/>
                                                                          <w:divBdr>
                                                                            <w:top w:val="none" w:sz="0" w:space="0" w:color="auto"/>
                                                                            <w:left w:val="none" w:sz="0" w:space="0" w:color="auto"/>
                                                                            <w:bottom w:val="none" w:sz="0" w:space="0" w:color="auto"/>
                                                                            <w:right w:val="none" w:sz="0" w:space="0" w:color="auto"/>
                                                                          </w:divBdr>
                                                                          <w:divsChild>
                                                                            <w:div w:id="598368127">
                                                                              <w:marLeft w:val="0"/>
                                                                              <w:marRight w:val="0"/>
                                                                              <w:marTop w:val="0"/>
                                                                              <w:marBottom w:val="0"/>
                                                                              <w:divBdr>
                                                                                <w:top w:val="none" w:sz="0" w:space="0" w:color="auto"/>
                                                                                <w:left w:val="none" w:sz="0" w:space="0" w:color="auto"/>
                                                                                <w:bottom w:val="none" w:sz="0" w:space="0" w:color="auto"/>
                                                                                <w:right w:val="none" w:sz="0" w:space="0" w:color="auto"/>
                                                                              </w:divBdr>
                                                                              <w:divsChild>
                                                                                <w:div w:id="1357196719">
                                                                                  <w:marLeft w:val="0"/>
                                                                                  <w:marRight w:val="0"/>
                                                                                  <w:marTop w:val="0"/>
                                                                                  <w:marBottom w:val="0"/>
                                                                                  <w:divBdr>
                                                                                    <w:top w:val="none" w:sz="0" w:space="0" w:color="auto"/>
                                                                                    <w:left w:val="none" w:sz="0" w:space="0" w:color="auto"/>
                                                                                    <w:bottom w:val="none" w:sz="0" w:space="0" w:color="auto"/>
                                                                                    <w:right w:val="none" w:sz="0" w:space="0" w:color="auto"/>
                                                                                  </w:divBdr>
                                                                                  <w:divsChild>
                                                                                    <w:div w:id="1795904076">
                                                                                      <w:marLeft w:val="0"/>
                                                                                      <w:marRight w:val="0"/>
                                                                                      <w:marTop w:val="0"/>
                                                                                      <w:marBottom w:val="0"/>
                                                                                      <w:divBdr>
                                                                                        <w:top w:val="none" w:sz="0" w:space="0" w:color="auto"/>
                                                                                        <w:left w:val="none" w:sz="0" w:space="0" w:color="auto"/>
                                                                                        <w:bottom w:val="none" w:sz="0" w:space="0" w:color="auto"/>
                                                                                        <w:right w:val="none" w:sz="0" w:space="0" w:color="auto"/>
                                                                                      </w:divBdr>
                                                                                      <w:divsChild>
                                                                                        <w:div w:id="344938381">
                                                                                          <w:marLeft w:val="0"/>
                                                                                          <w:marRight w:val="0"/>
                                                                                          <w:marTop w:val="0"/>
                                                                                          <w:marBottom w:val="0"/>
                                                                                          <w:divBdr>
                                                                                            <w:top w:val="none" w:sz="0" w:space="0" w:color="auto"/>
                                                                                            <w:left w:val="none" w:sz="0" w:space="0" w:color="auto"/>
                                                                                            <w:bottom w:val="none" w:sz="0" w:space="0" w:color="auto"/>
                                                                                            <w:right w:val="none" w:sz="0" w:space="0" w:color="auto"/>
                                                                                          </w:divBdr>
                                                                                          <w:divsChild>
                                                                                            <w:div w:id="4813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8866983">
      <w:bodyDiv w:val="1"/>
      <w:marLeft w:val="0"/>
      <w:marRight w:val="0"/>
      <w:marTop w:val="0"/>
      <w:marBottom w:val="0"/>
      <w:divBdr>
        <w:top w:val="none" w:sz="0" w:space="0" w:color="auto"/>
        <w:left w:val="none" w:sz="0" w:space="0" w:color="auto"/>
        <w:bottom w:val="none" w:sz="0" w:space="0" w:color="auto"/>
        <w:right w:val="none" w:sz="0" w:space="0" w:color="auto"/>
      </w:divBdr>
    </w:div>
    <w:div w:id="695892294">
      <w:bodyDiv w:val="1"/>
      <w:marLeft w:val="0"/>
      <w:marRight w:val="0"/>
      <w:marTop w:val="0"/>
      <w:marBottom w:val="0"/>
      <w:divBdr>
        <w:top w:val="none" w:sz="0" w:space="0" w:color="auto"/>
        <w:left w:val="none" w:sz="0" w:space="0" w:color="auto"/>
        <w:bottom w:val="none" w:sz="0" w:space="0" w:color="auto"/>
        <w:right w:val="none" w:sz="0" w:space="0" w:color="auto"/>
      </w:divBdr>
    </w:div>
    <w:div w:id="812453541">
      <w:bodyDiv w:val="1"/>
      <w:marLeft w:val="0"/>
      <w:marRight w:val="0"/>
      <w:marTop w:val="0"/>
      <w:marBottom w:val="0"/>
      <w:divBdr>
        <w:top w:val="none" w:sz="0" w:space="0" w:color="auto"/>
        <w:left w:val="none" w:sz="0" w:space="0" w:color="auto"/>
        <w:bottom w:val="none" w:sz="0" w:space="0" w:color="auto"/>
        <w:right w:val="none" w:sz="0" w:space="0" w:color="auto"/>
      </w:divBdr>
    </w:div>
    <w:div w:id="870413858">
      <w:bodyDiv w:val="1"/>
      <w:marLeft w:val="0"/>
      <w:marRight w:val="0"/>
      <w:marTop w:val="0"/>
      <w:marBottom w:val="0"/>
      <w:divBdr>
        <w:top w:val="none" w:sz="0" w:space="0" w:color="auto"/>
        <w:left w:val="none" w:sz="0" w:space="0" w:color="auto"/>
        <w:bottom w:val="none" w:sz="0" w:space="0" w:color="auto"/>
        <w:right w:val="none" w:sz="0" w:space="0" w:color="auto"/>
      </w:divBdr>
    </w:div>
    <w:div w:id="904684556">
      <w:bodyDiv w:val="1"/>
      <w:marLeft w:val="0"/>
      <w:marRight w:val="0"/>
      <w:marTop w:val="0"/>
      <w:marBottom w:val="0"/>
      <w:divBdr>
        <w:top w:val="none" w:sz="0" w:space="0" w:color="auto"/>
        <w:left w:val="none" w:sz="0" w:space="0" w:color="auto"/>
        <w:bottom w:val="none" w:sz="0" w:space="0" w:color="auto"/>
        <w:right w:val="none" w:sz="0" w:space="0" w:color="auto"/>
      </w:divBdr>
    </w:div>
    <w:div w:id="914314715">
      <w:bodyDiv w:val="1"/>
      <w:marLeft w:val="0"/>
      <w:marRight w:val="0"/>
      <w:marTop w:val="0"/>
      <w:marBottom w:val="0"/>
      <w:divBdr>
        <w:top w:val="none" w:sz="0" w:space="0" w:color="auto"/>
        <w:left w:val="none" w:sz="0" w:space="0" w:color="auto"/>
        <w:bottom w:val="none" w:sz="0" w:space="0" w:color="auto"/>
        <w:right w:val="none" w:sz="0" w:space="0" w:color="auto"/>
      </w:divBdr>
      <w:divsChild>
        <w:div w:id="1923375149">
          <w:marLeft w:val="0"/>
          <w:marRight w:val="0"/>
          <w:marTop w:val="0"/>
          <w:marBottom w:val="0"/>
          <w:divBdr>
            <w:top w:val="none" w:sz="0" w:space="0" w:color="auto"/>
            <w:left w:val="none" w:sz="0" w:space="0" w:color="auto"/>
            <w:bottom w:val="none" w:sz="0" w:space="0" w:color="auto"/>
            <w:right w:val="none" w:sz="0" w:space="0" w:color="auto"/>
          </w:divBdr>
          <w:divsChild>
            <w:div w:id="1710111317">
              <w:marLeft w:val="0"/>
              <w:marRight w:val="0"/>
              <w:marTop w:val="0"/>
              <w:marBottom w:val="0"/>
              <w:divBdr>
                <w:top w:val="none" w:sz="0" w:space="0" w:color="auto"/>
                <w:left w:val="none" w:sz="0" w:space="0" w:color="auto"/>
                <w:bottom w:val="none" w:sz="0" w:space="0" w:color="auto"/>
                <w:right w:val="none" w:sz="0" w:space="0" w:color="auto"/>
              </w:divBdr>
              <w:divsChild>
                <w:div w:id="1029768108">
                  <w:marLeft w:val="0"/>
                  <w:marRight w:val="0"/>
                  <w:marTop w:val="0"/>
                  <w:marBottom w:val="0"/>
                  <w:divBdr>
                    <w:top w:val="none" w:sz="0" w:space="0" w:color="auto"/>
                    <w:left w:val="none" w:sz="0" w:space="0" w:color="auto"/>
                    <w:bottom w:val="none" w:sz="0" w:space="0" w:color="auto"/>
                    <w:right w:val="none" w:sz="0" w:space="0" w:color="auto"/>
                  </w:divBdr>
                  <w:divsChild>
                    <w:div w:id="2111394133">
                      <w:marLeft w:val="0"/>
                      <w:marRight w:val="0"/>
                      <w:marTop w:val="0"/>
                      <w:marBottom w:val="0"/>
                      <w:divBdr>
                        <w:top w:val="none" w:sz="0" w:space="0" w:color="auto"/>
                        <w:left w:val="none" w:sz="0" w:space="0" w:color="auto"/>
                        <w:bottom w:val="none" w:sz="0" w:space="0" w:color="auto"/>
                        <w:right w:val="none" w:sz="0" w:space="0" w:color="auto"/>
                      </w:divBdr>
                      <w:divsChild>
                        <w:div w:id="1763255976">
                          <w:marLeft w:val="0"/>
                          <w:marRight w:val="0"/>
                          <w:marTop w:val="0"/>
                          <w:marBottom w:val="0"/>
                          <w:divBdr>
                            <w:top w:val="none" w:sz="0" w:space="0" w:color="auto"/>
                            <w:left w:val="none" w:sz="0" w:space="0" w:color="auto"/>
                            <w:bottom w:val="none" w:sz="0" w:space="0" w:color="auto"/>
                            <w:right w:val="none" w:sz="0" w:space="0" w:color="auto"/>
                          </w:divBdr>
                          <w:divsChild>
                            <w:div w:id="1410269257">
                              <w:marLeft w:val="0"/>
                              <w:marRight w:val="0"/>
                              <w:marTop w:val="0"/>
                              <w:marBottom w:val="0"/>
                              <w:divBdr>
                                <w:top w:val="none" w:sz="0" w:space="0" w:color="auto"/>
                                <w:left w:val="none" w:sz="0" w:space="0" w:color="auto"/>
                                <w:bottom w:val="none" w:sz="0" w:space="0" w:color="auto"/>
                                <w:right w:val="none" w:sz="0" w:space="0" w:color="auto"/>
                              </w:divBdr>
                              <w:divsChild>
                                <w:div w:id="1040545472">
                                  <w:marLeft w:val="0"/>
                                  <w:marRight w:val="0"/>
                                  <w:marTop w:val="0"/>
                                  <w:marBottom w:val="0"/>
                                  <w:divBdr>
                                    <w:top w:val="none" w:sz="0" w:space="0" w:color="auto"/>
                                    <w:left w:val="none" w:sz="0" w:space="0" w:color="auto"/>
                                    <w:bottom w:val="none" w:sz="0" w:space="0" w:color="auto"/>
                                    <w:right w:val="none" w:sz="0" w:space="0" w:color="auto"/>
                                  </w:divBdr>
                                  <w:divsChild>
                                    <w:div w:id="1284658293">
                                      <w:marLeft w:val="0"/>
                                      <w:marRight w:val="0"/>
                                      <w:marTop w:val="0"/>
                                      <w:marBottom w:val="0"/>
                                      <w:divBdr>
                                        <w:top w:val="none" w:sz="0" w:space="0" w:color="auto"/>
                                        <w:left w:val="none" w:sz="0" w:space="0" w:color="auto"/>
                                        <w:bottom w:val="none" w:sz="0" w:space="0" w:color="auto"/>
                                        <w:right w:val="none" w:sz="0" w:space="0" w:color="auto"/>
                                      </w:divBdr>
                                      <w:divsChild>
                                        <w:div w:id="859661368">
                                          <w:marLeft w:val="0"/>
                                          <w:marRight w:val="0"/>
                                          <w:marTop w:val="0"/>
                                          <w:marBottom w:val="0"/>
                                          <w:divBdr>
                                            <w:top w:val="none" w:sz="0" w:space="0" w:color="auto"/>
                                            <w:left w:val="none" w:sz="0" w:space="0" w:color="auto"/>
                                            <w:bottom w:val="none" w:sz="0" w:space="0" w:color="auto"/>
                                            <w:right w:val="none" w:sz="0" w:space="0" w:color="auto"/>
                                          </w:divBdr>
                                          <w:divsChild>
                                            <w:div w:id="1462505077">
                                              <w:marLeft w:val="0"/>
                                              <w:marRight w:val="0"/>
                                              <w:marTop w:val="0"/>
                                              <w:marBottom w:val="0"/>
                                              <w:divBdr>
                                                <w:top w:val="none" w:sz="0" w:space="0" w:color="auto"/>
                                                <w:left w:val="none" w:sz="0" w:space="0" w:color="auto"/>
                                                <w:bottom w:val="none" w:sz="0" w:space="0" w:color="auto"/>
                                                <w:right w:val="none" w:sz="0" w:space="0" w:color="auto"/>
                                              </w:divBdr>
                                              <w:divsChild>
                                                <w:div w:id="533539001">
                                                  <w:marLeft w:val="0"/>
                                                  <w:marRight w:val="0"/>
                                                  <w:marTop w:val="0"/>
                                                  <w:marBottom w:val="0"/>
                                                  <w:divBdr>
                                                    <w:top w:val="none" w:sz="0" w:space="0" w:color="auto"/>
                                                    <w:left w:val="none" w:sz="0" w:space="0" w:color="auto"/>
                                                    <w:bottom w:val="none" w:sz="0" w:space="0" w:color="auto"/>
                                                    <w:right w:val="none" w:sz="0" w:space="0" w:color="auto"/>
                                                  </w:divBdr>
                                                  <w:divsChild>
                                                    <w:div w:id="1777603529">
                                                      <w:marLeft w:val="0"/>
                                                      <w:marRight w:val="0"/>
                                                      <w:marTop w:val="0"/>
                                                      <w:marBottom w:val="0"/>
                                                      <w:divBdr>
                                                        <w:top w:val="none" w:sz="0" w:space="0" w:color="auto"/>
                                                        <w:left w:val="none" w:sz="0" w:space="0" w:color="auto"/>
                                                        <w:bottom w:val="none" w:sz="0" w:space="0" w:color="auto"/>
                                                        <w:right w:val="none" w:sz="0" w:space="0" w:color="auto"/>
                                                      </w:divBdr>
                                                      <w:divsChild>
                                                        <w:div w:id="598220061">
                                                          <w:marLeft w:val="0"/>
                                                          <w:marRight w:val="0"/>
                                                          <w:marTop w:val="0"/>
                                                          <w:marBottom w:val="0"/>
                                                          <w:divBdr>
                                                            <w:top w:val="none" w:sz="0" w:space="0" w:color="auto"/>
                                                            <w:left w:val="none" w:sz="0" w:space="0" w:color="auto"/>
                                                            <w:bottom w:val="none" w:sz="0" w:space="0" w:color="auto"/>
                                                            <w:right w:val="none" w:sz="0" w:space="0" w:color="auto"/>
                                                          </w:divBdr>
                                                          <w:divsChild>
                                                            <w:div w:id="1755471379">
                                                              <w:marLeft w:val="0"/>
                                                              <w:marRight w:val="0"/>
                                                              <w:marTop w:val="0"/>
                                                              <w:marBottom w:val="0"/>
                                                              <w:divBdr>
                                                                <w:top w:val="none" w:sz="0" w:space="0" w:color="auto"/>
                                                                <w:left w:val="none" w:sz="0" w:space="0" w:color="auto"/>
                                                                <w:bottom w:val="none" w:sz="0" w:space="0" w:color="auto"/>
                                                                <w:right w:val="none" w:sz="0" w:space="0" w:color="auto"/>
                                                              </w:divBdr>
                                                              <w:divsChild>
                                                                <w:div w:id="1103191226">
                                                                  <w:marLeft w:val="0"/>
                                                                  <w:marRight w:val="0"/>
                                                                  <w:marTop w:val="0"/>
                                                                  <w:marBottom w:val="0"/>
                                                                  <w:divBdr>
                                                                    <w:top w:val="none" w:sz="0" w:space="0" w:color="auto"/>
                                                                    <w:left w:val="none" w:sz="0" w:space="0" w:color="auto"/>
                                                                    <w:bottom w:val="none" w:sz="0" w:space="0" w:color="auto"/>
                                                                    <w:right w:val="none" w:sz="0" w:space="0" w:color="auto"/>
                                                                  </w:divBdr>
                                                                  <w:divsChild>
                                                                    <w:div w:id="143090636">
                                                                      <w:marLeft w:val="0"/>
                                                                      <w:marRight w:val="0"/>
                                                                      <w:marTop w:val="0"/>
                                                                      <w:marBottom w:val="0"/>
                                                                      <w:divBdr>
                                                                        <w:top w:val="none" w:sz="0" w:space="0" w:color="auto"/>
                                                                        <w:left w:val="none" w:sz="0" w:space="0" w:color="auto"/>
                                                                        <w:bottom w:val="none" w:sz="0" w:space="0" w:color="auto"/>
                                                                        <w:right w:val="none" w:sz="0" w:space="0" w:color="auto"/>
                                                                      </w:divBdr>
                                                                      <w:divsChild>
                                                                        <w:div w:id="97338927">
                                                                          <w:marLeft w:val="0"/>
                                                                          <w:marRight w:val="0"/>
                                                                          <w:marTop w:val="0"/>
                                                                          <w:marBottom w:val="0"/>
                                                                          <w:divBdr>
                                                                            <w:top w:val="none" w:sz="0" w:space="0" w:color="auto"/>
                                                                            <w:left w:val="none" w:sz="0" w:space="0" w:color="auto"/>
                                                                            <w:bottom w:val="none" w:sz="0" w:space="0" w:color="auto"/>
                                                                            <w:right w:val="none" w:sz="0" w:space="0" w:color="auto"/>
                                                                          </w:divBdr>
                                                                          <w:divsChild>
                                                                            <w:div w:id="480269141">
                                                                              <w:marLeft w:val="0"/>
                                                                              <w:marRight w:val="0"/>
                                                                              <w:marTop w:val="0"/>
                                                                              <w:marBottom w:val="0"/>
                                                                              <w:divBdr>
                                                                                <w:top w:val="none" w:sz="0" w:space="0" w:color="auto"/>
                                                                                <w:left w:val="none" w:sz="0" w:space="0" w:color="auto"/>
                                                                                <w:bottom w:val="none" w:sz="0" w:space="0" w:color="auto"/>
                                                                                <w:right w:val="none" w:sz="0" w:space="0" w:color="auto"/>
                                                                              </w:divBdr>
                                                                              <w:divsChild>
                                                                                <w:div w:id="1279753399">
                                                                                  <w:marLeft w:val="0"/>
                                                                                  <w:marRight w:val="0"/>
                                                                                  <w:marTop w:val="0"/>
                                                                                  <w:marBottom w:val="0"/>
                                                                                  <w:divBdr>
                                                                                    <w:top w:val="none" w:sz="0" w:space="0" w:color="auto"/>
                                                                                    <w:left w:val="none" w:sz="0" w:space="0" w:color="auto"/>
                                                                                    <w:bottom w:val="none" w:sz="0" w:space="0" w:color="auto"/>
                                                                                    <w:right w:val="none" w:sz="0" w:space="0" w:color="auto"/>
                                                                                  </w:divBdr>
                                                                                  <w:divsChild>
                                                                                    <w:div w:id="994795902">
                                                                                      <w:marLeft w:val="0"/>
                                                                                      <w:marRight w:val="0"/>
                                                                                      <w:marTop w:val="0"/>
                                                                                      <w:marBottom w:val="0"/>
                                                                                      <w:divBdr>
                                                                                        <w:top w:val="none" w:sz="0" w:space="0" w:color="auto"/>
                                                                                        <w:left w:val="none" w:sz="0" w:space="0" w:color="auto"/>
                                                                                        <w:bottom w:val="none" w:sz="0" w:space="0" w:color="auto"/>
                                                                                        <w:right w:val="none" w:sz="0" w:space="0" w:color="auto"/>
                                                                                      </w:divBdr>
                                                                                      <w:divsChild>
                                                                                        <w:div w:id="2130927901">
                                                                                          <w:marLeft w:val="0"/>
                                                                                          <w:marRight w:val="0"/>
                                                                                          <w:marTop w:val="0"/>
                                                                                          <w:marBottom w:val="0"/>
                                                                                          <w:divBdr>
                                                                                            <w:top w:val="none" w:sz="0" w:space="0" w:color="auto"/>
                                                                                            <w:left w:val="none" w:sz="0" w:space="0" w:color="auto"/>
                                                                                            <w:bottom w:val="none" w:sz="0" w:space="0" w:color="auto"/>
                                                                                            <w:right w:val="none" w:sz="0" w:space="0" w:color="auto"/>
                                                                                          </w:divBdr>
                                                                                          <w:divsChild>
                                                                                            <w:div w:id="1178039137">
                                                                                              <w:marLeft w:val="0"/>
                                                                                              <w:marRight w:val="0"/>
                                                                                              <w:marTop w:val="0"/>
                                                                                              <w:marBottom w:val="0"/>
                                                                                              <w:divBdr>
                                                                                                <w:top w:val="none" w:sz="0" w:space="0" w:color="auto"/>
                                                                                                <w:left w:val="none" w:sz="0" w:space="0" w:color="auto"/>
                                                                                                <w:bottom w:val="none" w:sz="0" w:space="0" w:color="auto"/>
                                                                                                <w:right w:val="none" w:sz="0" w:space="0" w:color="auto"/>
                                                                                              </w:divBdr>
                                                                                              <w:divsChild>
                                                                                                <w:div w:id="14393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8581984">
      <w:bodyDiv w:val="1"/>
      <w:marLeft w:val="0"/>
      <w:marRight w:val="0"/>
      <w:marTop w:val="0"/>
      <w:marBottom w:val="0"/>
      <w:divBdr>
        <w:top w:val="none" w:sz="0" w:space="0" w:color="auto"/>
        <w:left w:val="none" w:sz="0" w:space="0" w:color="auto"/>
        <w:bottom w:val="none" w:sz="0" w:space="0" w:color="auto"/>
        <w:right w:val="none" w:sz="0" w:space="0" w:color="auto"/>
      </w:divBdr>
      <w:divsChild>
        <w:div w:id="1252085810">
          <w:marLeft w:val="274"/>
          <w:marRight w:val="0"/>
          <w:marTop w:val="86"/>
          <w:marBottom w:val="0"/>
          <w:divBdr>
            <w:top w:val="none" w:sz="0" w:space="0" w:color="auto"/>
            <w:left w:val="none" w:sz="0" w:space="0" w:color="auto"/>
            <w:bottom w:val="none" w:sz="0" w:space="0" w:color="auto"/>
            <w:right w:val="none" w:sz="0" w:space="0" w:color="auto"/>
          </w:divBdr>
        </w:div>
      </w:divsChild>
    </w:div>
    <w:div w:id="1153453070">
      <w:bodyDiv w:val="1"/>
      <w:marLeft w:val="0"/>
      <w:marRight w:val="0"/>
      <w:marTop w:val="0"/>
      <w:marBottom w:val="0"/>
      <w:divBdr>
        <w:top w:val="none" w:sz="0" w:space="0" w:color="auto"/>
        <w:left w:val="none" w:sz="0" w:space="0" w:color="auto"/>
        <w:bottom w:val="none" w:sz="0" w:space="0" w:color="auto"/>
        <w:right w:val="none" w:sz="0" w:space="0" w:color="auto"/>
      </w:divBdr>
    </w:div>
    <w:div w:id="1174035621">
      <w:bodyDiv w:val="1"/>
      <w:marLeft w:val="0"/>
      <w:marRight w:val="0"/>
      <w:marTop w:val="0"/>
      <w:marBottom w:val="0"/>
      <w:divBdr>
        <w:top w:val="none" w:sz="0" w:space="0" w:color="auto"/>
        <w:left w:val="none" w:sz="0" w:space="0" w:color="auto"/>
        <w:bottom w:val="none" w:sz="0" w:space="0" w:color="auto"/>
        <w:right w:val="none" w:sz="0" w:space="0" w:color="auto"/>
      </w:divBdr>
    </w:div>
    <w:div w:id="1277757202">
      <w:bodyDiv w:val="1"/>
      <w:marLeft w:val="0"/>
      <w:marRight w:val="0"/>
      <w:marTop w:val="0"/>
      <w:marBottom w:val="0"/>
      <w:divBdr>
        <w:top w:val="none" w:sz="0" w:space="0" w:color="auto"/>
        <w:left w:val="none" w:sz="0" w:space="0" w:color="auto"/>
        <w:bottom w:val="none" w:sz="0" w:space="0" w:color="auto"/>
        <w:right w:val="none" w:sz="0" w:space="0" w:color="auto"/>
      </w:divBdr>
    </w:div>
    <w:div w:id="1287856629">
      <w:bodyDiv w:val="1"/>
      <w:marLeft w:val="0"/>
      <w:marRight w:val="0"/>
      <w:marTop w:val="0"/>
      <w:marBottom w:val="0"/>
      <w:divBdr>
        <w:top w:val="none" w:sz="0" w:space="0" w:color="auto"/>
        <w:left w:val="none" w:sz="0" w:space="0" w:color="auto"/>
        <w:bottom w:val="none" w:sz="0" w:space="0" w:color="auto"/>
        <w:right w:val="none" w:sz="0" w:space="0" w:color="auto"/>
      </w:divBdr>
    </w:div>
    <w:div w:id="1497382020">
      <w:bodyDiv w:val="1"/>
      <w:marLeft w:val="0"/>
      <w:marRight w:val="0"/>
      <w:marTop w:val="0"/>
      <w:marBottom w:val="0"/>
      <w:divBdr>
        <w:top w:val="none" w:sz="0" w:space="0" w:color="auto"/>
        <w:left w:val="none" w:sz="0" w:space="0" w:color="auto"/>
        <w:bottom w:val="none" w:sz="0" w:space="0" w:color="auto"/>
        <w:right w:val="none" w:sz="0" w:space="0" w:color="auto"/>
      </w:divBdr>
    </w:div>
    <w:div w:id="1518156643">
      <w:bodyDiv w:val="1"/>
      <w:marLeft w:val="0"/>
      <w:marRight w:val="0"/>
      <w:marTop w:val="0"/>
      <w:marBottom w:val="0"/>
      <w:divBdr>
        <w:top w:val="none" w:sz="0" w:space="0" w:color="auto"/>
        <w:left w:val="none" w:sz="0" w:space="0" w:color="auto"/>
        <w:bottom w:val="none" w:sz="0" w:space="0" w:color="auto"/>
        <w:right w:val="none" w:sz="0" w:space="0" w:color="auto"/>
      </w:divBdr>
    </w:div>
    <w:div w:id="1524054881">
      <w:bodyDiv w:val="1"/>
      <w:marLeft w:val="0"/>
      <w:marRight w:val="0"/>
      <w:marTop w:val="0"/>
      <w:marBottom w:val="0"/>
      <w:divBdr>
        <w:top w:val="none" w:sz="0" w:space="0" w:color="auto"/>
        <w:left w:val="none" w:sz="0" w:space="0" w:color="auto"/>
        <w:bottom w:val="none" w:sz="0" w:space="0" w:color="auto"/>
        <w:right w:val="none" w:sz="0" w:space="0" w:color="auto"/>
      </w:divBdr>
    </w:div>
    <w:div w:id="1676227662">
      <w:bodyDiv w:val="1"/>
      <w:marLeft w:val="0"/>
      <w:marRight w:val="0"/>
      <w:marTop w:val="0"/>
      <w:marBottom w:val="0"/>
      <w:divBdr>
        <w:top w:val="none" w:sz="0" w:space="0" w:color="auto"/>
        <w:left w:val="none" w:sz="0" w:space="0" w:color="auto"/>
        <w:bottom w:val="none" w:sz="0" w:space="0" w:color="auto"/>
        <w:right w:val="none" w:sz="0" w:space="0" w:color="auto"/>
      </w:divBdr>
    </w:div>
    <w:div w:id="1698043254">
      <w:bodyDiv w:val="1"/>
      <w:marLeft w:val="0"/>
      <w:marRight w:val="0"/>
      <w:marTop w:val="0"/>
      <w:marBottom w:val="0"/>
      <w:divBdr>
        <w:top w:val="none" w:sz="0" w:space="0" w:color="auto"/>
        <w:left w:val="none" w:sz="0" w:space="0" w:color="auto"/>
        <w:bottom w:val="none" w:sz="0" w:space="0" w:color="auto"/>
        <w:right w:val="none" w:sz="0" w:space="0" w:color="auto"/>
      </w:divBdr>
    </w:div>
    <w:div w:id="1751197484">
      <w:bodyDiv w:val="1"/>
      <w:marLeft w:val="0"/>
      <w:marRight w:val="0"/>
      <w:marTop w:val="0"/>
      <w:marBottom w:val="0"/>
      <w:divBdr>
        <w:top w:val="none" w:sz="0" w:space="0" w:color="auto"/>
        <w:left w:val="none" w:sz="0" w:space="0" w:color="auto"/>
        <w:bottom w:val="none" w:sz="0" w:space="0" w:color="auto"/>
        <w:right w:val="none" w:sz="0" w:space="0" w:color="auto"/>
      </w:divBdr>
    </w:div>
    <w:div w:id="1935363418">
      <w:bodyDiv w:val="1"/>
      <w:marLeft w:val="0"/>
      <w:marRight w:val="0"/>
      <w:marTop w:val="0"/>
      <w:marBottom w:val="0"/>
      <w:divBdr>
        <w:top w:val="none" w:sz="0" w:space="0" w:color="auto"/>
        <w:left w:val="none" w:sz="0" w:space="0" w:color="auto"/>
        <w:bottom w:val="none" w:sz="0" w:space="0" w:color="auto"/>
        <w:right w:val="none" w:sz="0" w:space="0" w:color="auto"/>
      </w:divBdr>
    </w:div>
    <w:div w:id="2056470180">
      <w:bodyDiv w:val="1"/>
      <w:marLeft w:val="0"/>
      <w:marRight w:val="0"/>
      <w:marTop w:val="0"/>
      <w:marBottom w:val="0"/>
      <w:divBdr>
        <w:top w:val="none" w:sz="0" w:space="0" w:color="auto"/>
        <w:left w:val="none" w:sz="0" w:space="0" w:color="auto"/>
        <w:bottom w:val="none" w:sz="0" w:space="0" w:color="auto"/>
        <w:right w:val="none" w:sz="0" w:space="0" w:color="auto"/>
      </w:divBdr>
    </w:div>
    <w:div w:id="212298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db.belastingdienst.nl/bankproducte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odb.belastingdienst.nl/" TargetMode="External"/><Relationship Id="rId17" Type="http://schemas.openxmlformats.org/officeDocument/2006/relationships/hyperlink" Target="https://odb.belastingdienst.nl" TargetMode="External"/><Relationship Id="rId2" Type="http://schemas.openxmlformats.org/officeDocument/2006/relationships/customXml" Target="../customXml/item2.xml"/><Relationship Id="rId16" Type="http://schemas.openxmlformats.org/officeDocument/2006/relationships/hyperlink" Target="https://odb.belastingdienst.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db.belastingdienst.n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ogius.nl" TargetMode="External"/><Relationship Id="rId23" Type="http://schemas.openxmlformats.org/officeDocument/2006/relationships/fontTable" Target="fontTable.xml"/><Relationship Id="rId10" Type="http://schemas.openxmlformats.org/officeDocument/2006/relationships/hyperlink" Target="http://odb.belastingdienst.nl"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odb.belastingdienst.nl/"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425A5-1576-4F9B-9092-31887A161939}">
  <ds:schemaRefs>
    <ds:schemaRef ds:uri="http://schemas.openxmlformats.org/officeDocument/2006/bibliography"/>
  </ds:schemaRefs>
</ds:datastoreItem>
</file>

<file path=customXml/itemProps2.xml><?xml version="1.0" encoding="utf-8"?>
<ds:datastoreItem xmlns:ds="http://schemas.openxmlformats.org/officeDocument/2006/customXml" ds:itemID="{FF151587-94AD-4B85-99CE-A5302EB5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8824</Words>
  <Characters>57415</Characters>
  <Application>Microsoft Office Word</Application>
  <DocSecurity>0</DocSecurity>
  <Lines>478</Lines>
  <Paragraphs>132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At opinio facillime sumitur</vt:lpstr>
      <vt:lpstr>At opinio facillime sumitur</vt:lpstr>
    </vt:vector>
  </TitlesOfParts>
  <Company>Ministerie van Financiën</Company>
  <LinksUpToDate>false</LinksUpToDate>
  <CharactersWithSpaces>66107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opinio facillime sumitur</dc:title>
  <dc:subject/>
  <dc:creator>Claus C.L. den HAAN</dc:creator>
  <cp:keywords/>
  <dc:description/>
  <cp:lastModifiedBy>Marco M.W.J.M. Schijlen</cp:lastModifiedBy>
  <cp:revision>2</cp:revision>
  <cp:lastPrinted>2021-03-29T15:13:00Z</cp:lastPrinted>
  <dcterms:created xsi:type="dcterms:W3CDTF">2025-09-18T12:47:00Z</dcterms:created>
  <dcterms:modified xsi:type="dcterms:W3CDTF">2025-09-18T12:47:00Z</dcterms:modified>
</cp:coreProperties>
</file>